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harts/chart1.xml" ContentType="application/vnd.openxmlformats-officedocument.drawingml.chart+xml"/>
  <Override PartName="/word/charts/chart8.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7.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288b741d5e6a4774" /><Relationship Type="http://schemas.openxmlformats.org/package/2006/relationships/metadata/core-properties" Target="/docProps/core.xml" Id="R3f93c834a9b4466c" /><Relationship Type="http://schemas.openxmlformats.org/officeDocument/2006/relationships/extended-properties" Target="/docProps/app.xml" Id="Ra2a5eefe43254040" /><Relationship Type="http://schemas.openxmlformats.org/officeDocument/2006/relationships/custom-properties" Target="/docProps/custom.xml" Id="Rd257a9e24d9749eb" /></Relationships>
</file>

<file path=word/document.xml><?xml version="1.0" encoding="utf-8"?>
<w:document xmlns:c="http://schemas.openxmlformats.org/drawingml/2006/char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800"/>
        <w:jc w:val="center"/>
      </w:pPr>
      <w:r>
        <w:rPr>
          <w:b/>
          <w:color w:val="C00000"/>
          <w:sz w:val="18"/>
        </w:rPr>
        <w:t xml:space="preserve">内部资料 · 立项决策用 · 请勿外传</w:t>
      </w:r>
    </w:p>
    <w:p w14:paraId="00100002" w14:textId="00100471">
      <w:pPr>
        <w:pStyle w:val="Title"/>
        <w:spacing w:after="120"/>
        <w:jc w:val="center"/>
      </w:pPr>
      <w:r>
        <w:rPr>
          <w:rFonts w:eastAsia="黑体"/>
          <w:b/>
          <w:color w:val="1F3864"/>
          <w:sz w:val="72"/>
        </w:rPr>
        <w:t xml:space="preserve">多替诺雷片</w:t>
      </w:r>
    </w:p>
    <w:p w14:paraId="00100004" w14:textId="00100005">
      <w:pPr>
        <w:spacing w:after="200"/>
        <w:jc w:val="center"/>
      </w:pPr>
      <w:r>
        <w:rPr>
          <w:b/>
          <w:color w:val="1F3864"/>
          <w:sz w:val="52"/>
        </w:rPr>
        <w:t xml:space="preserve">立项调研报告</w:t>
      </w:r>
    </w:p>
    <w:p w14:paraId="00100006" w14:textId="00100007">
      <w:pPr>
        <w:spacing w:after="280"/>
        <w:jc w:val="center"/>
      </w:pPr>
      <w:r>
        <w:rPr>
          <w:i/>
          <w:color w:val="44546A"/>
          <w:sz w:val="26"/>
        </w:rPr>
        <w:t xml:space="preserve">化学药品 4 类仿制可行性、专利自由实施（FTO）与市场准入综合评估</w:t>
      </w:r>
    </w:p>
    <w:p w14:paraId="00100008" w14:textId="00100009">
      <w:pPr>
        <w:pBdr>
          <w:bottom w:val="single" w:color="1F3864" w:sz="12" w:space="6"/>
        </w:pBdr>
        <w:spacing w:after="120"/>
        <w:jc w:val="center"/>
      </w:pPr>
      <w:r>
        <w:rPr>
          <w:color w:val="7F7F7F"/>
          <w:sz w:val="21"/>
        </w:rPr>
        <w:t xml:space="preserve">Dotinurad Tablets — Generic Feasibility &amp; Freedom-to-Operate Assessment</w:t>
      </w:r>
    </w:p>
    <w:p w14:paraId="0010000A" w14:textId="0010000B">
      <w:pPr>
        <w:spacing w:before="520" w:after="120"/>
        <w:jc w:val="center"/>
      </w:pPr>
      <w:r>
        <w:rPr>
          <w:b/>
          <w:color w:val="1F3864"/>
          <w:sz w:val="22"/>
        </w:rPr>
        <w:t xml:space="preserve">品种识别</w:t>
      </w:r>
    </w:p>
    <w:p w14:paraId="0010000C" w14:textId="00100472">
      <w:pPr>
        <w:spacing w:after="80"/>
        <w:jc w:val="center"/>
      </w:pPr>
      <w:r>
        <w:rPr>
          <w:sz w:val="22"/>
        </w:rPr>
        <w:t xml:space="preserve">通用名：多替诺雷片（Dotinurad Tablets）　·　商品名：优乐思 / URECE / ユリス</w:t>
      </w:r>
    </w:p>
    <w:p w14:paraId="0010000E" w14:textId="00100473">
      <w:pPr>
        <w:spacing w:after="80"/>
        <w:jc w:val="center"/>
      </w:pPr>
      <w:r>
        <w:rPr>
          <w:sz w:val="22"/>
        </w:rPr>
        <w:t xml:space="preserve">原研与持证商：FUJI YAKUHIN CO., LTD.（日本富士药品）　·　生产场地：Toyama Plant</w:t>
      </w:r>
    </w:p>
    <w:p w14:paraId="00100010" w14:textId="00100011">
      <w:pPr>
        <w:spacing w:after="80"/>
        <w:jc w:val="center"/>
      </w:pPr>
      <w:r>
        <w:rPr>
          <w:sz w:val="22"/>
        </w:rPr>
        <w:t xml:space="preserve">国内参比制剂：第 93 批 93-33（1 mg）、93-34（2 mg），国内上市原研进口</w:t>
      </w:r>
    </w:p>
    <w:p w14:paraId="00100012" w14:textId="00100474">
      <w:pPr>
        <w:spacing w:after="80"/>
        <w:jc w:val="center"/>
      </w:pPr>
      <w:r>
        <w:rPr>
          <w:sz w:val="22"/>
        </w:rPr>
        <w:t xml:space="preserve">拟申报类别：化学药品 4 类（仿制）　·　剂型规格：口服常释片，1 mg / 2 mg</w:t>
      </w:r>
    </w:p>
    <w:p w14:paraId="00100014" w14:textId="00100475">
      <w:pPr>
        <w:spacing w:after="520"/>
        <w:jc w:val="center"/>
      </w:pPr>
      <w:r>
        <w:rPr>
          <w:sz w:val="22"/>
        </w:rPr>
        <w:t xml:space="preserve">适应症：痛风伴高尿酸血症　·　作用靶点：尿酸转运体 1（URAT1 / SLC22A12）</w:t>
      </w:r>
    </w:p>
    <w:p w14:paraId="00100016" w14:textId="00100017">
      <w:pPr>
        <w:spacing w:after="120"/>
        <w:jc w:val="center"/>
      </w:pPr>
      <w:r>
        <w:rPr>
          <w:b/>
          <w:color w:val="C00000"/>
          <w:sz w:val="22"/>
        </w:rPr>
        <w:t xml:space="preserve">核心结论</w:t>
      </w:r>
    </w:p>
    <w:p w14:paraId="00100018" w14:textId="00100019">
      <w:pPr>
        <w:spacing w:after="80"/>
        <w:jc w:val="center"/>
      </w:pPr>
      <w:r>
        <w:rPr>
          <w:b/>
          <w:sz w:val="23"/>
        </w:rPr>
        <w:t xml:space="preserve">P1 可获批 87 分（高）　·　P2 现在可合法上市 18 分（低）　·　P3 值得做 47 分（中低）</w:t>
      </w:r>
    </w:p>
    <w:p w14:paraId="0010001A" w14:textId="0010001B">
      <w:pPr>
        <w:spacing w:after="600"/>
        <w:ind w:left="340"/>
        <w:jc w:val="center"/>
      </w:pPr>
      <w:r>
        <w:rPr>
          <w:sz w:val="22"/>
        </w:rPr>
        <w:t xml:space="preserve">立项综合 45 分 → 结论为「跟踪 / 卡位」：现阶段投入小试、BE 与原料关联，商业化节点按化合物专利 2030 年 9 月 28 日到期排产，不建议按「近期仿制上市」投产。</w:t>
      </w:r>
    </w:p>
    <w:p w14:paraId="0010001C" w14:textId="00100476">
      <w:pPr>
        <w:spacing w:after="80"/>
        <w:jc w:val="center"/>
      </w:pPr>
      <w:r>
        <w:rPr>
          <w:color w:val="595959"/>
          <w:sz w:val="20"/>
        </w:rPr>
        <w:t xml:space="preserve">数据来源：药海 DrugSea 数据库（63 库）　·　数据截止日：2026 年 9 月 11 日</w:t>
      </w:r>
    </w:p>
    <w:p w14:paraId="0010001E" w14:textId="00100477">
      <w:pPr>
        <w:spacing w:after="280"/>
        <w:jc w:val="center"/>
      </w:pPr>
      <w:r>
        <w:rPr>
          <w:color w:val="595959"/>
          <w:sz w:val="20"/>
        </w:rPr>
        <w:t xml:space="preserve">编制：立项调研工作组　·　报告版本：V1.0　·　报告日期：2026 年 9 月 11 日</w:t>
      </w:r>
    </w:p>
    <w:p w14:paraId="00100020" w14:textId="00100021">
      <w:pPr>
        <w:ind w:left="340"/>
        <w:jc w:val="center"/>
      </w:pPr>
      <w:r>
        <w:rPr>
          <w:i/>
          <w:color w:val="7F7F7F"/>
          <w:sz w:val="18"/>
        </w:rPr>
        <w:t xml:space="preserve">免责声明：本报告所有数据均来自药海 DrugSea 数据库公开检索结果，未作外推或估算补齐；专利声明部分为申请人自行申报口径的归纳，不构成法律意见，正式立项前须由知识产权部门出具独立 FTO 意见。</w:t>
      </w:r>
    </w:p>
    <w:p w14:paraId="0010042B" w14:textId="0010042C">
      <w:pPr>
        <w:pageBreakBefore/>
        <w:spacing w:after="320"/>
        <w:jc w:val="center"/>
      </w:pPr>
      <w:r>
        <w:rPr>
          <w:b/>
          <w:color w:val="1F3864"/>
          <w:sz w:val="40"/>
        </w:rPr>
        <w:t xml:space="preserve">目　录</w:t>
      </w:r>
    </w:p>
    <w:p w14:paraId="0010042D" w14:textId="0010042E">
      <w:r>
        <w:fldChar w:fldCharType="begin"/>
      </w:r>
      <w:r>
        <w:instrText xml:space="preserve"> TOC \o "1-2" \h \u </w:instrText>
      </w:r>
      <w:r>
        <w:fldChar w:fldCharType="separate"/>
      </w:r>
      <w:r>
        <w:t xml:space="preserve">Update field to see table of contents</w:t>
      </w:r>
      <w:r>
        <w:fldChar w:fldCharType="end"/>
      </w:r>
    </w:p>
    <w:p w14:paraId="00100022" w14:textId="00100446">
      <w:pPr>
        <w:pStyle w:val="Heading1"/>
        <w:pageBreakBefore/>
        <w:spacing w:after="240"/>
      </w:pPr>
      <w:r>
        <w:rPr>
          <w:rFonts w:eastAsia="黑体"/>
          <w:b/>
          <w:color w:val="1F3864"/>
          <w:sz w:val="36"/>
        </w:rPr>
        <w:t xml:space="preserve">一、背景分析</w:t>
      </w:r>
    </w:p>
    <w:p w14:paraId="00100024" w14:textId="00100455">
      <w:pPr>
        <w:pStyle w:val="Heading2"/>
        <w:spacing w:before="240" w:after="120"/>
      </w:pPr>
      <w:r>
        <w:rPr>
          <w:rFonts w:eastAsia="黑体"/>
          <w:b/>
          <w:color w:val="2E5496"/>
          <w:sz w:val="28"/>
        </w:rPr>
        <w:t xml:space="preserve">1.1 疾病与治疗背景</w:t>
      </w:r>
    </w:p>
    <w:p w14:paraId="00100026" w14:textId="00100027">
      <w:pPr>
        <w:spacing w:after="160" w:line="336" w:lineRule="auto"/>
        <w:ind w:firstLine="240"/>
      </w:pPr>
      <w:r>
        <w:rPr>
          <w:sz w:val="22"/>
        </w:rPr>
        <w:t xml:space="preserve">高尿酸血症与痛风是我国患病人数持续上升的代谢性疾病，治疗目标为长期将血尿酸控制在目标水平以下。降尿酸药物按机制分为两类：一类是抑制尿酸生成的黄嘌呤氧化酶（XO）抑制剂，代表药物为别嘌醇与非布司他；另一类是促进尿酸排泄的尿酸转运体抑制剂，代表药物为苯溴马隆。多替诺雷属于后者，是选择性尿酸转运体 1（URAT1，基因 SLC22A12，UniProt 编号 Q96S37）抑制剂。</w:t>
      </w:r>
    </w:p>
    <w:p w14:paraId="00100028" w14:textId="00100029">
      <w:pPr>
        <w:spacing w:after="160" w:line="336" w:lineRule="auto"/>
        <w:ind w:firstLine="240"/>
      </w:pPr>
      <w:r>
        <w:rPr>
          <w:sz w:val="22"/>
        </w:rPr>
        <w:t xml:space="preserve">需要说明的是，药海 targets 库中 URAT1 靶点条目虽已关联丙磺舒、lesinurad 等促尿酸排泄药物，但尚未收录多替诺雷，本报告对靶点的判断以 product_cn 适应症描述与日本 PMDA 上市信息为依据。</w:t>
      </w:r>
    </w:p>
    <w:p w14:paraId="0010002A" w14:textId="00100456">
      <w:pPr>
        <w:pStyle w:val="Heading2"/>
        <w:spacing w:before="240" w:after="120"/>
      </w:pPr>
      <w:r>
        <w:rPr>
          <w:rFonts w:eastAsia="黑体"/>
          <w:b/>
          <w:color w:val="2E5496"/>
          <w:sz w:val="28"/>
        </w:rPr>
        <w:t xml:space="preserve">1.2 品种为何进入立项视野</w:t>
      </w:r>
    </w:p>
    <w:p w14:paraId="0010002C" w14:textId="0010002D">
      <w:pPr>
        <w:spacing w:after="160" w:line="336" w:lineRule="auto"/>
        <w:ind w:firstLine="240"/>
      </w:pPr>
      <w:r>
        <w:rPr>
          <w:sz w:val="22"/>
        </w:rPr>
        <w:t xml:space="preserve">多替诺雷在国内呈现出典型的「可仿制型新进口品种」特征，四个信号同时出现：第一，原研已于 2024 年 12 月 6 日以化学药品 5.1 类进口上市，国内参比制剂已在第 93 批正式确定；第二，仿制申报在 2025 年集中爆发，化学药品 4 类申请达 38 条、生物等效性（BE）登记达 51 条；第三，品种已纳入 2025 年国家医保谈判目录（乙类），并在多省完成挂网，市场准入身份明确；第四，原研在日本已有连续放量的销售基础。</w:t>
      </w:r>
    </w:p>
    <w:p w14:paraId="0010002E" w14:textId="0010002F">
      <w:pPr>
        <w:spacing w:after="160" w:line="336" w:lineRule="auto"/>
        <w:ind w:firstLine="240"/>
      </w:pPr>
      <w:r>
        <w:rPr>
          <w:sz w:val="22"/>
        </w:rPr>
        <w:t xml:space="preserve">与此同时，该品种存在一个不能被上述热度掩盖的硬约束：原研化合物专利在中国的有效期至 2030 年 9 月 28 日。因此本次调研的核心问题不是「技术上能不能仿」，而是「能不能合法上市、以及什么时候上市值得做」。这也决定了本报告采用三个相互独立的概率维度而非单一结论的分析框架。</w:t>
      </w:r>
    </w:p>
    <w:p w14:paraId="00100030" w14:textId="00100457">
      <w:pPr>
        <w:pStyle w:val="Heading2"/>
        <w:spacing w:before="240" w:after="120"/>
      </w:pPr>
      <w:r>
        <w:rPr>
          <w:rFonts w:eastAsia="黑体"/>
          <w:b/>
          <w:color w:val="2E5496"/>
          <w:sz w:val="28"/>
        </w:rPr>
        <w:t xml:space="preserve">1.3 竞争环境概述</w:t>
      </w:r>
    </w:p>
    <w:p w14:paraId="00100032" w14:textId="00100033">
      <w:pPr>
        <w:spacing w:after="160" w:line="336" w:lineRule="auto"/>
        <w:ind w:firstLine="240"/>
      </w:pPr>
      <w:r>
        <w:rPr>
          <w:sz w:val="22"/>
        </w:rPr>
        <w:t xml:space="preserve">国内降尿酸口服市场已被低价老药占据：非布司他片已有 45 个上市批文、85 个过评品规，并已进入 48 项集采；别嘌醇片上市 20 个、苯溴马隆片上市 7 个。这意味着多替诺雷仿制药未来面对的不是空白市场，而是「新机制溢价 + 谈判目录身份」与「老药极低价格」之间的替代竞争。</w:t>
      </w:r>
    </w:p>
    <w:p w14:paraId="00100034" w14:textId="00100447">
      <w:pPr>
        <w:pStyle w:val="Heading1"/>
        <w:pageBreakBefore/>
        <w:spacing w:after="240"/>
      </w:pPr>
      <w:r>
        <w:rPr>
          <w:rFonts w:eastAsia="黑体"/>
          <w:b/>
          <w:color w:val="1F3864"/>
          <w:sz w:val="36"/>
        </w:rPr>
        <w:t xml:space="preserve">二、调研框架与数据来源</w:t>
      </w:r>
    </w:p>
    <w:p w14:paraId="00100036" w14:textId="00100458">
      <w:pPr>
        <w:pStyle w:val="Heading2"/>
        <w:spacing w:before="240" w:after="120"/>
      </w:pPr>
      <w:r>
        <w:rPr>
          <w:rFonts w:eastAsia="黑体"/>
          <w:b/>
          <w:color w:val="2E5496"/>
          <w:sz w:val="28"/>
        </w:rPr>
        <w:t xml:space="preserve">2.1 三概率分析框架</w:t>
      </w:r>
    </w:p>
    <w:p w14:paraId="00100038" w14:textId="00100039">
      <w:pPr>
        <w:spacing w:after="160" w:line="336" w:lineRule="auto"/>
        <w:ind w:firstLine="240"/>
      </w:pPr>
      <w:r>
        <w:rPr>
          <w:sz w:val="22"/>
        </w:rPr>
        <w:t xml:space="preserve">仿制品种立项常见的判断误区，是把「能不能仿」压缩成一个含糊的总分。本报告将其拆为三个彼此独立、不可互相抵消的概率：</w:t>
      </w:r>
    </w:p>
    <w:p w14:paraId="0010003A" w14:textId="0010003B">
      <w:pPr>
        <w:numPr>
          <w:ilvl w:val="0"/>
          <w:numId w:val="1"/>
        </w:numPr>
        <w:spacing w:after="80" w:line="336" w:lineRule="auto"/>
      </w:pPr>
      <w:r>
        <w:rPr>
          <w:sz w:val="22"/>
        </w:rPr>
        <w:t xml:space="preserve">P1 可获批：在现有参比制剂条件下，以化学药品 4 类 + BE 路径拿到批准文号的概率。通过线为 70 分，低于该线不必进入后续讨论。</w:t>
      </w:r>
    </w:p>
    <w:p w14:paraId="0010003C" w14:textId="0010003D">
      <w:pPr>
        <w:numPr>
          <w:ilvl w:val="0"/>
          <w:numId w:val="1"/>
        </w:numPr>
        <w:spacing w:after="80" w:line="336" w:lineRule="auto"/>
      </w:pPr>
      <w:r>
        <w:rPr>
          <w:sz w:val="22"/>
        </w:rPr>
        <w:t xml:space="preserve">P2 可合法上市：在专利链接制度下，化合物专利、晶型专利是否阻挡实际销售。化合物专利未到期时，该维度默认取低值。</w:t>
      </w:r>
    </w:p>
    <w:p w14:paraId="0010003E" w14:textId="0010003F">
      <w:pPr>
        <w:numPr>
          <w:ilvl w:val="0"/>
          <w:numId w:val="1"/>
        </w:numPr>
        <w:spacing w:after="160" w:line="336" w:lineRule="auto"/>
      </w:pPr>
      <w:r>
        <w:rPr>
          <w:sz w:val="22"/>
        </w:rPr>
        <w:t xml:space="preserve">P3 值得做：获批并可合法销售后，量、价、医保与集采环境是否支撑投入回收。</w:t>
      </w:r>
    </w:p>
    <w:p w14:paraId="00100040" w14:textId="00100459">
      <w:pPr>
        <w:pStyle w:val="Heading2"/>
        <w:spacing w:before="240" w:after="120"/>
      </w:pPr>
      <w:r>
        <w:rPr>
          <w:rFonts w:eastAsia="黑体"/>
          <w:b/>
          <w:color w:val="2E5496"/>
          <w:sz w:val="28"/>
        </w:rPr>
        <w:t xml:space="preserve">2.2 权重与计算规则</w:t>
      </w:r>
    </w:p>
    <w:p w14:paraId="00100042" w14:textId="00100043">
      <w:pPr>
        <w:spacing w:after="160" w:line="336" w:lineRule="auto"/>
        <w:ind w:firstLine="240"/>
      </w:pPr>
      <w:r>
        <w:rPr>
          <w:sz w:val="22"/>
        </w:rPr>
        <w:t xml:space="preserve">六个基础维度权重为：法规与参比 15%、CMC 与 BE 15%、专利 30%、竞争窗口 15%、市场准入 20%、时间匹配 5%。三概率由基础维度合成：P1 = 法规×0.5 + CMC×0.5；P2 = 专利维度得分；P3 = 竞争×0.4 + 市场×0.5 + 时间×0.1。立项综合分 = 0.25×P1 + 0.40×P2 + 0.35×P3。</w:t>
      </w:r>
    </w:p>
    <w:p w14:paraId="00100044" w14:textId="00100045">
      <w:pPr>
        <w:spacing w:after="160" w:line="336" w:lineRule="auto"/>
        <w:ind w:firstLine="240"/>
      </w:pPr>
      <w:r>
        <w:rPr>
          <w:sz w:val="22"/>
        </w:rPr>
        <w:t xml:space="preserve">决策带设定为：综合分不低于 70 且 P2 不低于 60，建议立项并按专利到期日排产；综合分处于 45 至 70 之间，或 P2 低于 40 但 P1 很高，定性为跟踪与卡位；综合分低于 45，或 P2 低于 25 且无可靠的 4.2 类声明依据，则暂缓。</w:t>
      </w:r>
    </w:p>
    <w:p w14:paraId="00100046" w14:textId="0010045A">
      <w:pPr>
        <w:pStyle w:val="Heading2"/>
        <w:spacing w:before="240" w:after="120"/>
      </w:pPr>
      <w:r>
        <w:rPr>
          <w:rFonts w:eastAsia="黑体"/>
          <w:b/>
          <w:color w:val="2E5496"/>
          <w:sz w:val="28"/>
        </w:rPr>
        <w:t xml:space="preserve">2.3 数据来源与检索口径</w:t>
      </w:r>
    </w:p>
    <w:p w14:paraId="00100048" w14:textId="00100049">
      <w:pPr>
        <w:spacing w:after="160" w:line="336" w:lineRule="auto"/>
        <w:ind w:firstLine="240"/>
      </w:pPr>
      <w:r>
        <w:rPr>
          <w:sz w:val="22"/>
        </w:rPr>
        <w:t xml:space="preserve">全部数据来自药海 DrugSea 数据库，检索日为 2026 年 9 月 11 日，共调用 20 余个子库：上市与注册端使用 product_cn、reg_cn、generic_cn、yzpj_products、cn_reference_drugs、cde_yfb_registration；专利端使用 zldj（专利登记）与 zlsm（专利声明）；临床端使用 ct_cn、ct_global；准入端使用 yibao、nhsa_code、jiyao、jicai、zhaobiao；销售端使用 sales_cn、drugsales；境外端使用 product_jp、product_us、product_eu、fda_dmf。</w:t>
      </w:r>
    </w:p>
    <w:p w14:paraId="0010004A" w14:textId="0010004B">
      <w:pPr>
        <w:spacing w:after="160" w:line="336" w:lineRule="auto"/>
        <w:ind w:firstLine="240"/>
      </w:pPr>
      <w:r>
        <w:rPr>
          <w:sz w:val="22"/>
        </w:rPr>
        <w:t xml:space="preserve">检索遵循三条纪律：一是不以单库计数替代分库核实，例如 global_search 返回的国别计数字段全为 0，已判定为不可信并改由分库确认；二是库间口径冲突时以专库为准，例如 product_cn 的医保字段仍标注「非医保」，而 yibao 与 nhsa_code 已收录其 2025 年谈判乙类身份，本报告以后者为准；三是缺失数据一律标注「不可得」，不做估算填补，相关清单见第十四章。</w:t>
      </w:r>
    </w:p>
    <w:p w14:paraId="0010004C" w14:textId="00100448">
      <w:pPr>
        <w:pStyle w:val="Heading1"/>
        <w:pageBreakBefore/>
        <w:spacing w:after="240"/>
      </w:pPr>
      <w:r>
        <w:rPr>
          <w:rFonts w:eastAsia="黑体"/>
          <w:b/>
          <w:color w:val="1F3864"/>
          <w:sz w:val="36"/>
        </w:rPr>
        <w:t xml:space="preserve">三、品种基础档案</w:t>
      </w:r>
    </w:p>
    <w:p w14:paraId="0010004E" w14:textId="0010004F">
      <w:pPr>
        <w:spacing w:after="160" w:line="336" w:lineRule="auto"/>
        <w:ind w:firstLine="240"/>
      </w:pPr>
      <w:r>
        <w:rPr>
          <w:sz w:val="22"/>
        </w:rPr>
        <w:t xml:space="preserve">product_cn 库中该品种现有 2 条有效批文，均为原研进口。基础信息如下表。</w:t>
      </w:r>
    </w:p>
    <w:p w14:paraId="00100050" w14:textId="0010047A">
      <w:pPr>
        <w:keepNext/>
        <w:spacing w:after="80"/>
      </w:pPr>
      <w:r>
        <w:rPr>
          <w:b/>
          <w:color w:val="44546A"/>
          <w:sz w:val="20"/>
        </w:rPr>
        <w:t xml:space="preserve">表 3-1　多替诺雷片基础档案（来源：product_cn、reg_cn、nhsa_code）</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3023"/>
        <w:gridCol w:w="3023"/>
        <w:gridCol w:w="3023"/>
      </w:tblGrid>
      <w:tr>
        <w:trPr>
          <w:tblHeader/>
        </w:trPr>
        <w:tc>
          <w:p w14:paraId="00100052" w14:textId="00100053">
            <w:r>
              <w:t xml:space="preserve">字段</w:t>
            </w:r>
          </w:p>
        </w:tc>
        <w:tc>
          <w:p w14:paraId="00100054" w14:textId="00100055">
            <w:r>
              <w:t xml:space="preserve">内容</w:t>
            </w:r>
          </w:p>
        </w:tc>
        <w:tc>
          <w:p w14:paraId="00100056" w14:textId="00100057">
            <w:r>
              <w:t xml:space="preserve">来源库</w:t>
            </w:r>
          </w:p>
        </w:tc>
      </w:tr>
      <w:tr>
        <w:trPr/>
        <w:tc>
          <w:p w14:paraId="00100058" w14:textId="00100059">
            <w:r>
              <w:t xml:space="preserve">通用名 / 英文名</w:t>
            </w:r>
          </w:p>
        </w:tc>
        <w:tc>
          <w:p w14:paraId="0010005A" w14:textId="0010005B">
            <w:r>
              <w:t xml:space="preserve">多替诺雷 / Dotinurad</w:t>
            </w:r>
          </w:p>
        </w:tc>
        <w:tc>
          <w:p w14:paraId="0010005C" w14:textId="0010005D">
            <w:r>
              <w:t xml:space="preserve">product_cn</w:t>
            </w:r>
          </w:p>
        </w:tc>
      </w:tr>
      <w:tr>
        <w:trPr/>
        <w:tc>
          <w:p w14:paraId="0010005E" w14:textId="0010005F">
            <w:r>
              <w:t xml:space="preserve">商品名</w:t>
            </w:r>
          </w:p>
        </w:tc>
        <w:tc>
          <w:p w14:paraId="00100060" w14:textId="00100061">
            <w:r>
              <w:t xml:space="preserve">优乐思（中国）、URECE / ユリス（日本）</w:t>
            </w:r>
          </w:p>
        </w:tc>
        <w:tc>
          <w:p w14:paraId="00100062" w14:textId="00100063">
            <w:r>
              <w:t xml:space="preserve">product_cn、product_jp</w:t>
            </w:r>
          </w:p>
        </w:tc>
      </w:tr>
      <w:tr>
        <w:trPr/>
        <w:tc>
          <w:p w14:paraId="00100064" w14:textId="00100065">
            <w:r>
              <w:t xml:space="preserve">批准文号</w:t>
            </w:r>
          </w:p>
        </w:tc>
        <w:tc>
          <w:p w14:paraId="00100066" w14:textId="00100067">
            <w:r>
              <w:t xml:space="preserve">国药准字 HJ20240163（1 mg）、HJ20240164（2 mg）</w:t>
            </w:r>
          </w:p>
        </w:tc>
        <w:tc>
          <w:p w14:paraId="00100068" w14:textId="00100069">
            <w:r>
              <w:t xml:space="preserve">product_cn</w:t>
            </w:r>
          </w:p>
        </w:tc>
      </w:tr>
      <w:tr>
        <w:trPr/>
        <w:tc>
          <w:p w14:paraId="0010006A" w14:textId="0010006B">
            <w:r>
              <w:t xml:space="preserve">注册分类</w:t>
            </w:r>
          </w:p>
        </w:tc>
        <w:tc>
          <w:p w14:paraId="0010006C" w14:textId="0010006D">
            <w:r>
              <w:t xml:space="preserve">化学药品 5.1 类（原研进口）</w:t>
            </w:r>
          </w:p>
        </w:tc>
        <w:tc>
          <w:p w14:paraId="0010006E" w14:textId="0010006F">
            <w:r>
              <w:t xml:space="preserve">product_cn</w:t>
            </w:r>
          </w:p>
        </w:tc>
      </w:tr>
      <w:tr>
        <w:trPr/>
        <w:tc>
          <w:p w14:paraId="00100070" w14:textId="00100071">
            <w:r>
              <w:t xml:space="preserve">国内首次上市</w:t>
            </w:r>
          </w:p>
        </w:tc>
        <w:tc>
          <w:p w14:paraId="00100072" w14:textId="00100073">
            <w:r>
              <w:t xml:space="preserve">2024 年 12 月 6 日</w:t>
            </w:r>
          </w:p>
        </w:tc>
        <w:tc>
          <w:p w14:paraId="00100074" w14:textId="00100075">
            <w:r>
              <w:t xml:space="preserve">product_cn</w:t>
            </w:r>
          </w:p>
        </w:tc>
      </w:tr>
      <w:tr>
        <w:trPr/>
        <w:tc>
          <w:p w14:paraId="00100076" w14:textId="00100077">
            <w:r>
              <w:t xml:space="preserve">持证商 / 生产场地</w:t>
            </w:r>
          </w:p>
        </w:tc>
        <w:tc>
          <w:p w14:paraId="00100078" w14:textId="00100079">
            <w:r>
              <w:t xml:space="preserve">FUJI YAKUHIN CO., LTD. / Toyama Plant（日本）</w:t>
            </w:r>
          </w:p>
        </w:tc>
        <w:tc>
          <w:p w14:paraId="0010007A" w14:textId="0010007B">
            <w:r>
              <w:t xml:space="preserve">product_cn</w:t>
            </w:r>
          </w:p>
        </w:tc>
      </w:tr>
      <w:tr>
        <w:trPr/>
        <w:tc>
          <w:p w14:paraId="0010007C" w14:textId="0010007D">
            <w:r>
              <w:t xml:space="preserve">剂型与给药途径</w:t>
            </w:r>
          </w:p>
        </w:tc>
        <w:tc>
          <w:p w14:paraId="0010007E" w14:textId="0010007F">
            <w:r>
              <w:t xml:space="preserve">口服常释片，处方药</w:t>
            </w:r>
          </w:p>
        </w:tc>
        <w:tc>
          <w:p w14:paraId="00100080" w14:textId="00100081">
            <w:r>
              <w:t xml:space="preserve">product_cn</w:t>
            </w:r>
          </w:p>
        </w:tc>
      </w:tr>
      <w:tr>
        <w:trPr/>
        <w:tc>
          <w:p w14:paraId="00100082" w14:textId="00100083">
            <w:r>
              <w:t xml:space="preserve">包装</w:t>
            </w:r>
          </w:p>
        </w:tc>
        <w:tc>
          <w:p w14:paraId="00100084" w14:textId="00100085">
            <w:r>
              <w:t xml:space="preserve">14 片/板，1 板或 2 板/盒；聚氯乙烯固体药用硬片与药用铝箔包装</w:t>
            </w:r>
          </w:p>
        </w:tc>
        <w:tc>
          <w:p w14:paraId="00100086" w14:textId="00100087">
            <w:r>
              <w:t xml:space="preserve">product_cn、nhsa_code</w:t>
            </w:r>
          </w:p>
        </w:tc>
      </w:tr>
      <w:tr>
        <w:trPr/>
        <w:tc>
          <w:p w14:paraId="00100088" w14:textId="00100089">
            <w:r>
              <w:t xml:space="preserve">ATC 分类</w:t>
            </w:r>
          </w:p>
        </w:tc>
        <w:tc>
          <w:p w14:paraId="0010008A" w14:textId="0010008B">
            <w:r>
              <w:t xml:space="preserve">M（肌肉-骨骼系统）；销售库四级编码 M4A0</w:t>
            </w:r>
          </w:p>
        </w:tc>
        <w:tc>
          <w:p w14:paraId="0010008C" w14:textId="0010008D">
            <w:r>
              <w:t xml:space="preserve">product_cn、drugsales</w:t>
            </w:r>
          </w:p>
        </w:tc>
      </w:tr>
      <w:tr>
        <w:trPr/>
        <w:tc>
          <w:p w14:paraId="0010008E" w14:textId="0010008F">
            <w:r>
              <w:t xml:space="preserve">原研 CDE 受理号</w:t>
            </w:r>
          </w:p>
        </w:tc>
        <w:tc>
          <w:p w14:paraId="00100090" w14:textId="00100091">
            <w:r>
              <w:t xml:space="preserve">JXHS2400007（1 mg）、JXHS2400008（2 mg）</w:t>
            </w:r>
          </w:p>
        </w:tc>
        <w:tc>
          <w:p w14:paraId="00100092" w14:textId="00100093">
            <w:r>
              <w:t xml:space="preserve">reg_cn</w:t>
            </w:r>
          </w:p>
        </w:tc>
      </w:tr>
      <w:tr>
        <w:trPr/>
        <w:tc>
          <w:p w14:paraId="00100094" w14:textId="00100095">
            <w:r>
              <w:t xml:space="preserve">临床试验申请</w:t>
            </w:r>
          </w:p>
        </w:tc>
        <w:tc>
          <w:p w14:paraId="00100096" w14:textId="00100097">
            <w:r>
              <w:t xml:space="preserve">2021-03-20 卫材（中国）与富士药品提交 JXHL2100094 / JXHL2100095，2021-05-25 获批临床</w:t>
            </w:r>
          </w:p>
        </w:tc>
        <w:tc>
          <w:p w14:paraId="00100098" w14:textId="00100099">
            <w:r>
              <w:t xml:space="preserve">reg_cn</w:t>
            </w:r>
          </w:p>
        </w:tc>
      </w:tr>
      <w:tr>
        <w:trPr/>
        <w:tc>
          <w:p w14:paraId="0010009A" w14:textId="0010009B">
            <w:r>
              <w:t xml:space="preserve">医保身份</w:t>
            </w:r>
          </w:p>
        </w:tc>
        <w:tc>
          <w:p w14:paraId="0010009C" w14:textId="0010009D">
            <w:r>
              <w:t xml:space="preserve">2025 版国家谈判药品，乙类，保险编号 313 / TX313，限痛风伴高尿酸血症</w:t>
            </w:r>
          </w:p>
        </w:tc>
        <w:tc>
          <w:p w14:paraId="0010009E" w14:textId="0010009F">
            <w:r>
              <w:t xml:space="preserve">yibao、nhsa_code</w:t>
            </w:r>
          </w:p>
        </w:tc>
      </w:tr>
      <w:tr>
        <w:trPr/>
        <w:tc>
          <w:p w14:paraId="001000A0" w14:textId="001000A1">
            <w:r>
              <w:t xml:space="preserve">基药 / 集采 / 过评</w:t>
            </w:r>
          </w:p>
        </w:tc>
        <w:tc>
          <w:p w14:paraId="001000A2" w14:textId="001000A3">
            <w:r>
              <w:t xml:space="preserve">非基药；未进集采；尚无企业通过一致性评价</w:t>
            </w:r>
          </w:p>
        </w:tc>
        <w:tc>
          <w:p w14:paraId="001000A4" w14:textId="001000A5">
            <w:r>
              <w:t xml:space="preserve">jiyao、jicai、generic_cn</w:t>
            </w:r>
          </w:p>
        </w:tc>
      </w:tr>
    </w:tbl>
    <w:p w14:paraId="001000A6" w14:textId="001000A7">
      <w:pPr>
        <w:spacing w:before="200" w:after="160" w:line="336" w:lineRule="auto"/>
        <w:ind w:firstLine="240"/>
      </w:pPr>
      <w:r>
        <w:rPr>
          <w:sz w:val="22"/>
        </w:rPr>
        <w:t xml:space="preserve">需要提示两处数据缺口：一是 shuomingshu（说明书库）检索该品种返回 0 条，无法获得官方说明书中的药代、溶出与辅料信息；二是 cn_orange_book（中国上市药品目录集）同样返回 0 条，product_cn 中 is_orange_book 字段为「否」。二者共同意味着处方前研究所需的公开资料需另行从日本 PMDA 文件或文献途径补齐。</w:t>
      </w:r>
    </w:p>
    <w:p w14:paraId="001000A8" w14:textId="00100449">
      <w:pPr>
        <w:pStyle w:val="Heading1"/>
        <w:pageBreakBefore/>
        <w:spacing w:after="240"/>
      </w:pPr>
      <w:r>
        <w:rPr>
          <w:rFonts w:eastAsia="黑体"/>
          <w:b/>
          <w:color w:val="1F3864"/>
          <w:sz w:val="36"/>
        </w:rPr>
        <w:t xml:space="preserve">四、参比制剂与注册路径</w:t>
      </w:r>
    </w:p>
    <w:p w14:paraId="001000AA" w14:textId="0010045B">
      <w:pPr>
        <w:pStyle w:val="Heading2"/>
        <w:spacing w:before="240" w:after="120"/>
      </w:pPr>
      <w:r>
        <w:rPr>
          <w:rFonts w:eastAsia="黑体"/>
          <w:b/>
          <w:color w:val="2E5496"/>
          <w:sz w:val="28"/>
        </w:rPr>
        <w:t xml:space="preserve">4.1 参比制剂目录</w:t>
      </w:r>
    </w:p>
    <w:p w14:paraId="001000AC" w14:textId="001000AD">
      <w:pPr>
        <w:spacing w:after="160" w:line="336" w:lineRule="auto"/>
        <w:ind w:firstLine="240"/>
      </w:pPr>
      <w:r>
        <w:rPr>
          <w:sz w:val="22"/>
        </w:rPr>
        <w:t xml:space="preserve">cn_reference_drugs 库共收录该品种 5 条参比制剂，分属两个批次，规格与来源不同，直接决定了可仿规格的选择。</w:t>
      </w:r>
    </w:p>
    <w:p w14:paraId="001000AE" w14:textId="0010047B">
      <w:pPr>
        <w:keepNext/>
        <w:spacing w:after="80"/>
      </w:pPr>
      <w:r>
        <w:rPr>
          <w:b/>
          <w:color w:val="44546A"/>
          <w:sz w:val="20"/>
        </w:rPr>
        <w:t xml:space="preserve">表 4-1　参比制剂公示情况（来源：cn_reference_drugs）</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2267"/>
        <w:gridCol w:w="2267"/>
        <w:gridCol w:w="2267"/>
        <w:gridCol w:w="2267"/>
      </w:tblGrid>
      <w:tr>
        <w:trPr>
          <w:tblHeader/>
        </w:trPr>
        <w:tc>
          <w:p w14:paraId="001000B0" w14:textId="001000B1">
            <w:r>
              <w:t xml:space="preserve">批次与日期</w:t>
            </w:r>
          </w:p>
        </w:tc>
        <w:tc>
          <w:p w14:paraId="001000B2" w14:textId="001000B3">
            <w:r>
              <w:t xml:space="preserve">编号</w:t>
            </w:r>
          </w:p>
        </w:tc>
        <w:tc>
          <w:p w14:paraId="001000B4" w14:textId="001000B5">
            <w:r>
              <w:t xml:space="preserve">规格</w:t>
            </w:r>
          </w:p>
        </w:tc>
        <w:tc>
          <w:p w14:paraId="001000B6" w14:textId="001000B7">
            <w:r>
              <w:t xml:space="preserve">来源类型</w:t>
            </w:r>
          </w:p>
        </w:tc>
      </w:tr>
      <w:tr>
        <w:trPr/>
        <w:tc>
          <w:p w14:paraId="001000B8" w14:textId="001000B9">
            <w:r>
              <w:t xml:space="preserve">第 93 批　2025-07-08</w:t>
            </w:r>
          </w:p>
        </w:tc>
        <w:tc>
          <w:p w14:paraId="001000BA" w14:textId="001000BB">
            <w:r>
              <w:t xml:space="preserve">93-33</w:t>
            </w:r>
          </w:p>
        </w:tc>
        <w:tc>
          <w:p w14:paraId="001000BC" w14:textId="001000BD">
            <w:r>
              <w:t xml:space="preserve">1 mg</w:t>
            </w:r>
          </w:p>
        </w:tc>
        <w:tc>
          <w:p w14:paraId="001000BE" w14:textId="001000BF">
            <w:r>
              <w:t xml:space="preserve">国内上市原研进口（优乐思）</w:t>
            </w:r>
          </w:p>
        </w:tc>
      </w:tr>
      <w:tr>
        <w:trPr/>
        <w:tc>
          <w:p w14:paraId="001000C0" w14:textId="001000C1">
            <w:r>
              <w:t xml:space="preserve">第 93 批　2025-07-08</w:t>
            </w:r>
          </w:p>
        </w:tc>
        <w:tc>
          <w:p w14:paraId="001000C2" w14:textId="001000C3">
            <w:r>
              <w:t xml:space="preserve">93-34</w:t>
            </w:r>
          </w:p>
        </w:tc>
        <w:tc>
          <w:p w14:paraId="001000C4" w14:textId="001000C5">
            <w:r>
              <w:t xml:space="preserve">2 mg</w:t>
            </w:r>
          </w:p>
        </w:tc>
        <w:tc>
          <w:p w14:paraId="001000C6" w14:textId="001000C7">
            <w:r>
              <w:t xml:space="preserve">国内上市原研进口（优乐思）</w:t>
            </w:r>
          </w:p>
        </w:tc>
      </w:tr>
      <w:tr>
        <w:trPr/>
        <w:tc>
          <w:p w14:paraId="001000C8" w14:textId="001000C9">
            <w:r>
              <w:t xml:space="preserve">第 81 批　2024-06-17</w:t>
            </w:r>
          </w:p>
        </w:tc>
        <w:tc>
          <w:p w14:paraId="001000CA" w14:textId="001000CB">
            <w:r>
              <w:t xml:space="preserve">81-4</w:t>
            </w:r>
          </w:p>
        </w:tc>
        <w:tc>
          <w:p w14:paraId="001000CC" w14:textId="001000CD">
            <w:r>
              <w:t xml:space="preserve">0.5 mg</w:t>
            </w:r>
          </w:p>
        </w:tc>
        <w:tc>
          <w:p w14:paraId="001000CE" w14:textId="001000CF">
            <w:r>
              <w:t xml:space="preserve">日本未进口（URECE，株式会社富士薬品）</w:t>
            </w:r>
          </w:p>
        </w:tc>
      </w:tr>
      <w:tr>
        <w:trPr/>
        <w:tc>
          <w:p w14:paraId="001000D0" w14:textId="001000D1">
            <w:r>
              <w:t xml:space="preserve">第 81 批　2024-06-17</w:t>
            </w:r>
          </w:p>
        </w:tc>
        <w:tc>
          <w:p w14:paraId="001000D2" w14:textId="001000D3">
            <w:r>
              <w:t xml:space="preserve">81-5</w:t>
            </w:r>
          </w:p>
        </w:tc>
        <w:tc>
          <w:p w14:paraId="001000D4" w14:textId="001000D5">
            <w:r>
              <w:t xml:space="preserve">1 mg</w:t>
            </w:r>
          </w:p>
        </w:tc>
        <w:tc>
          <w:p w14:paraId="001000D6" w14:textId="001000D7">
            <w:r>
              <w:t xml:space="preserve">日本未进口（URECE，株式会社富士薬品）</w:t>
            </w:r>
          </w:p>
        </w:tc>
      </w:tr>
      <w:tr>
        <w:trPr/>
        <w:tc>
          <w:p w14:paraId="001000D8" w14:textId="001000D9">
            <w:r>
              <w:t xml:space="preserve">第 81 批　2024-06-17</w:t>
            </w:r>
          </w:p>
        </w:tc>
        <w:tc>
          <w:p w14:paraId="001000DA" w14:textId="001000DB">
            <w:r>
              <w:t xml:space="preserve">81-6</w:t>
            </w:r>
          </w:p>
        </w:tc>
        <w:tc>
          <w:p w14:paraId="001000DC" w14:textId="001000DD">
            <w:r>
              <w:t xml:space="preserve">2 mg</w:t>
            </w:r>
          </w:p>
        </w:tc>
        <w:tc>
          <w:p w14:paraId="001000DE" w14:textId="001000DF">
            <w:r>
              <w:t xml:space="preserve">日本未进口（URECE，株式会社富士薬品）</w:t>
            </w:r>
          </w:p>
        </w:tc>
      </w:tr>
    </w:tbl>
    <w:p w14:paraId="001000E0" w14:textId="001000E1">
      <w:pPr>
        <w:spacing w:before="200" w:after="160" w:line="336" w:lineRule="auto"/>
        <w:ind w:firstLine="240"/>
      </w:pPr>
      <w:r>
        <w:rPr>
          <w:sz w:val="22"/>
        </w:rPr>
        <w:t xml:space="preserve">结论是：1 mg 与 2 mg 两个规格有国内上市原研进口参比，是风险最低的仿制锚点；0.5 mg 仅有「日本未进口」参比，若纳入申报需额外论证参比可得性与一致性依据。从后续申报数据看，行业实际申报规格覆盖 0.5、1、2 mg 三档，但主力仍在 1 mg 与 2 mg。</w:t>
      </w:r>
    </w:p>
    <w:p w14:paraId="001000E2" w14:textId="0010045C">
      <w:pPr>
        <w:pStyle w:val="Heading2"/>
        <w:spacing w:before="240" w:after="120"/>
      </w:pPr>
      <w:r>
        <w:rPr>
          <w:rFonts w:eastAsia="黑体"/>
          <w:b/>
          <w:color w:val="2E5496"/>
          <w:sz w:val="28"/>
        </w:rPr>
        <w:t xml:space="preserve">4.2 一致性评价与申报统计</w:t>
      </w:r>
    </w:p>
    <w:p w14:paraId="001000E4" w14:textId="0010047C">
      <w:pPr>
        <w:keepNext/>
        <w:spacing w:after="80"/>
      </w:pPr>
      <w:r>
        <w:rPr>
          <w:b/>
          <w:color w:val="44546A"/>
          <w:sz w:val="20"/>
        </w:rPr>
        <w:t xml:space="preserve">表 4-2　品种级注册统计（来源：generic_cn、yzpj_products、reg_cn、ct_cn）</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3023"/>
        <w:gridCol w:w="3023"/>
        <w:gridCol w:w="3023"/>
      </w:tblGrid>
      <w:tr>
        <w:trPr>
          <w:tblHeader/>
        </w:trPr>
        <w:tc>
          <w:p w14:paraId="001000E6" w14:textId="001000E7">
            <w:r>
              <w:t xml:space="preserve">指标</w:t>
            </w:r>
          </w:p>
        </w:tc>
        <w:tc>
          <w:p w14:paraId="001000E8" w14:textId="001000E9">
            <w:r>
              <w:t xml:space="preserve">数值</w:t>
            </w:r>
          </w:p>
        </w:tc>
        <w:tc>
          <w:p w14:paraId="001000EA" w14:textId="001000EB">
            <w:r>
              <w:t xml:space="preserve">口径说明</w:t>
            </w:r>
          </w:p>
        </w:tc>
      </w:tr>
      <w:tr>
        <w:trPr/>
        <w:tc>
          <w:p w14:paraId="001000EC" w14:textId="001000ED">
            <w:r>
              <w:t xml:space="preserve">中国上市品规</w:t>
            </w:r>
          </w:p>
        </w:tc>
        <w:tc>
          <w:p w14:paraId="001000EE" w14:textId="001000EF">
            <w:r>
              <w:t xml:space="preserve">1</w:t>
            </w:r>
          </w:p>
        </w:tc>
        <w:tc>
          <w:p w14:paraId="001000F0" w14:textId="001000F1">
            <w:r>
              <w:t xml:space="preserve">仅原研进口，尚无国产仿制上市</w:t>
            </w:r>
          </w:p>
        </w:tc>
      </w:tr>
      <w:tr>
        <w:trPr/>
        <w:tc>
          <w:p w14:paraId="001000F2" w14:textId="001000F3">
            <w:r>
              <w:t xml:space="preserve">已通过一致性评价</w:t>
            </w:r>
          </w:p>
        </w:tc>
        <w:tc>
          <w:p w14:paraId="001000F4" w14:textId="001000F5">
            <w:r>
              <w:t xml:space="preserve">0</w:t>
            </w:r>
          </w:p>
        </w:tc>
        <w:tc>
          <w:p w14:paraId="001000F6" w14:textId="001000F7">
            <w:r>
              <w:t xml:space="preserve">yzpj_products 最高进展为「审评中」，首家过评日期为空</w:t>
            </w:r>
          </w:p>
        </w:tc>
      </w:tr>
      <w:tr>
        <w:trPr/>
        <w:tc>
          <w:p w14:paraId="001000F8" w14:textId="001000F9">
            <w:r>
              <w:t xml:space="preserve">仿制药申请企业数</w:t>
            </w:r>
          </w:p>
        </w:tc>
        <w:tc>
          <w:p w14:paraId="001000FA" w14:textId="001000FB">
            <w:r>
              <w:t xml:space="preserve">19</w:t>
            </w:r>
          </w:p>
        </w:tc>
        <w:tc>
          <w:p w14:paraId="001000FC" w14:textId="001000FD">
            <w:r>
              <w:t xml:space="preserve">generic_cn 口径，与 reg_cn 按企业归并结果一致</w:t>
            </w:r>
          </w:p>
        </w:tc>
      </w:tr>
      <w:tr>
        <w:trPr/>
        <w:tc>
          <w:p w14:paraId="001000FE" w14:textId="001000FF">
            <w:r>
              <w:t xml:space="preserve">一致性评价类申请</w:t>
            </w:r>
          </w:p>
        </w:tc>
        <w:tc>
          <w:p w14:paraId="00100100" w14:textId="00100101">
            <w:r>
              <w:t xml:space="preserve">38</w:t>
            </w:r>
          </w:p>
        </w:tc>
        <w:tc>
          <w:p w14:paraId="00100102" w14:textId="00100103">
            <w:r>
              <w:t xml:space="preserve">yzpj_products 审评中 38、总申请 38</w:t>
            </w:r>
          </w:p>
        </w:tc>
      </w:tr>
      <w:tr>
        <w:trPr/>
        <w:tc>
          <w:p w14:paraId="00100104" w14:textId="00100105">
            <w:r>
              <w:t xml:space="preserve">BE 登记数</w:t>
            </w:r>
          </w:p>
        </w:tc>
        <w:tc>
          <w:p w14:paraId="00100106" w14:textId="00100107">
            <w:r>
              <w:t xml:space="preserve">51</w:t>
            </w:r>
          </w:p>
        </w:tc>
        <w:tc>
          <w:p w14:paraId="00100108" w14:textId="00100109">
            <w:r>
              <w:t xml:space="preserve">generic_cn 口径</w:t>
            </w:r>
          </w:p>
        </w:tc>
      </w:tr>
      <w:tr>
        <w:trPr/>
        <w:tc>
          <w:p w14:paraId="0010010A" w14:textId="0010010B">
            <w:r>
              <w:t xml:space="preserve">国内临床试验登记</w:t>
            </w:r>
          </w:p>
        </w:tc>
        <w:tc>
          <w:p w14:paraId="0010010C" w14:textId="0010010D">
            <w:r>
              <w:t xml:space="preserve">53</w:t>
            </w:r>
          </w:p>
        </w:tc>
        <w:tc>
          <w:p w14:paraId="0010010E" w14:textId="0010010F">
            <w:r>
              <w:t xml:space="preserve">ct_cn 口径，绝大多数为 BE 备案</w:t>
            </w:r>
          </w:p>
        </w:tc>
      </w:tr>
      <w:tr>
        <w:trPr/>
        <w:tc>
          <w:p w14:paraId="00100110" w14:textId="00100111">
            <w:r>
              <w:t xml:space="preserve">参比制剂数</w:t>
            </w:r>
          </w:p>
        </w:tc>
        <w:tc>
          <w:p w14:paraId="00100112" w14:textId="00100113">
            <w:r>
              <w:t xml:space="preserve">5</w:t>
            </w:r>
          </w:p>
        </w:tc>
        <w:tc>
          <w:p w14:paraId="00100114" w14:textId="00100115">
            <w:r>
              <w:t xml:space="preserve">含 2 条国内进口参比、3 条日本未进口参比</w:t>
            </w:r>
          </w:p>
        </w:tc>
      </w:tr>
      <w:tr>
        <w:trPr/>
        <w:tc>
          <w:p w14:paraId="00100116" w14:textId="00100117">
            <w:r>
              <w:t xml:space="preserve">国家集采</w:t>
            </w:r>
          </w:p>
        </w:tc>
        <w:tc>
          <w:p w14:paraId="00100118" w14:textId="00100119">
            <w:r>
              <w:t xml:space="preserve">0</w:t>
            </w:r>
          </w:p>
        </w:tc>
        <w:tc>
          <w:p w14:paraId="0010011A" w14:textId="0010011B">
            <w:r>
              <w:t xml:space="preserve">未过评，短期不具备国采条件</w:t>
            </w:r>
          </w:p>
        </w:tc>
      </w:tr>
    </w:tbl>
    <w:p w14:paraId="0010011C" w14:textId="0010011D">
      <w:pPr>
        <w:spacing w:before="200" w:after="160" w:line="336" w:lineRule="auto"/>
        <w:ind w:firstLine="240"/>
      </w:pPr>
      <w:r>
        <w:rPr>
          <w:sz w:val="22"/>
        </w:rPr>
        <w:t xml:space="preserve">从 P1 视角解读：参比明确、剂型为常释片、BE 已被行业大规模跑通（51 条登记、53 条试验），说明技术与法规路径不存在结构性障碍，这是本品种 P1 得分达到 87 分的主要依据。扣分项来自说明书与目录集数据缺失，以及原料药登记状态尚未与制剂共同审评（详见第七章）。</w:t>
      </w:r>
    </w:p>
    <w:p w14:paraId="0010011E" w14:textId="0010044A">
      <w:pPr>
        <w:pStyle w:val="Heading1"/>
        <w:pageBreakBefore/>
        <w:spacing w:after="240"/>
      </w:pPr>
      <w:r>
        <w:rPr>
          <w:rFonts w:eastAsia="黑体"/>
          <w:b/>
          <w:color w:val="1F3864"/>
          <w:sz w:val="36"/>
        </w:rPr>
        <w:t xml:space="preserve">五、申报竞争格局</w:t>
      </w:r>
    </w:p>
    <w:p w14:paraId="00100120" w14:textId="0010045D">
      <w:pPr>
        <w:pStyle w:val="Heading2"/>
        <w:spacing w:before="240" w:after="120"/>
      </w:pPr>
      <w:r>
        <w:rPr>
          <w:rFonts w:eastAsia="黑体"/>
          <w:b/>
          <w:color w:val="2E5496"/>
          <w:sz w:val="28"/>
        </w:rPr>
        <w:t xml:space="preserve">5.1 受理号结构</w:t>
      </w:r>
    </w:p>
    <w:p w14:paraId="00100122" w14:textId="00100123">
      <w:pPr>
        <w:spacing w:after="160" w:line="336" w:lineRule="auto"/>
        <w:ind w:firstLine="240"/>
      </w:pPr>
      <w:r>
        <w:rPr>
          <w:sz w:val="22"/>
        </w:rPr>
        <w:t xml:space="preserve">以药品名称「多替诺雷」在 reg_cn 库检索（关联匹配模式，默认排除备案），注册分类分布为化学药品 4 类 38 条、5.1 类 2 条；研发状态为在研 39 条、已完结 10 条、已上市 2 条；办理状态为在审评审批中 39 条、制证完毕 12 条；剂型分布为片剂 46 条、对照品 5 条。按企业聚合后受理记录总数为 53 条，其中包含进口一次性申请与对照品申请。</w:t>
      </w:r>
    </w:p>
    <w:p w14:paraId="00100124" w14:textId="0010047D">
      <w:pPr>
        <w:keepNext/>
        <w:spacing w:before="120" w:after="80"/>
      </w:pPr>
      <w:r>
        <w:rPr>
          <w:b/>
          <w:color w:val="44546A"/>
          <w:sz w:val="20"/>
        </w:rPr>
        <w:t xml:space="preserve">图 5-1　多替诺雷片竞争强度关键计数（来源：product_cn、generic_cn、yzpj_products、ct_cn）</w:t>
      </w:r>
    </w:p>
    <w:p w14:paraId="00100126" w14:textId="00100127">
      <w:r>
        <w:drawing>
          <wp:inline distT="0" distB="0" distL="0" distR="0">
            <wp:extent cx="5669280" cy="2651760"/>
            <wp:effectExtent l="0" t="0" r="0" b="0"/>
            <wp:docPr id="1" name="竞争强度关键计数"/>
            <wp:cNvGraphicFramePr/>
            <a:graphic>
              <a:graphicData uri="http://schemas.openxmlformats.org/drawingml/2006/chart">
                <c:chart xmlns:c="http://schemas.openxmlformats.org/drawingml/2006/chart" r:id="R6305dc563f574235"/>
              </a:graphicData>
            </a:graphic>
          </wp:inline>
        </w:drawing>
      </w:r>
    </w:p>
    <w:p w14:paraId="00100128" w14:textId="0010045E">
      <w:pPr>
        <w:pStyle w:val="Heading2"/>
        <w:spacing w:before="280" w:after="120"/>
      </w:pPr>
      <w:r>
        <w:rPr>
          <w:rFonts w:eastAsia="黑体"/>
          <w:b/>
          <w:color w:val="2E5496"/>
          <w:sz w:val="28"/>
        </w:rPr>
        <w:t xml:space="preserve">5.2 申报企业清单</w:t>
      </w:r>
    </w:p>
    <w:p w14:paraId="0010012A" w14:textId="0010047E">
      <w:pPr>
        <w:keepNext/>
        <w:spacing w:after="80"/>
      </w:pPr>
      <w:r>
        <w:rPr>
          <w:b/>
          <w:color w:val="44546A"/>
          <w:sz w:val="20"/>
        </w:rPr>
        <w:t xml:space="preserve">表 5-1　化学药品 4 类申报企业（来源：reg_cn 按企业聚合）</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4535"/>
        <w:gridCol w:w="4535"/>
      </w:tblGrid>
      <w:tr>
        <w:trPr>
          <w:tblHeader/>
        </w:trPr>
        <w:tc>
          <w:p w14:paraId="0010012C" w14:textId="0010012D">
            <w:r>
              <w:t xml:space="preserve">分组</w:t>
            </w:r>
          </w:p>
        </w:tc>
        <w:tc>
          <w:p w14:paraId="0010012E" w14:textId="0010012F">
            <w:r>
              <w:t xml:space="preserve">企业</w:t>
            </w:r>
          </w:p>
        </w:tc>
      </w:tr>
      <w:tr>
        <w:trPr/>
        <w:tc>
          <w:p w14:paraId="00100130" w14:textId="00100131">
            <w:r>
              <w:t xml:space="preserve">潜在首仿</w:t>
            </w:r>
          </w:p>
        </w:tc>
        <w:tc>
          <w:p w14:paraId="00100132" w14:textId="00100133">
            <w:r>
              <w:t xml:space="preserve">湖南天地恒一制药（CYHS2503112，2025-08-25 受理，带潜在首仿标记；另有 CYHS2504481，2025-12-30 受理，无首仿标记）</w:t>
            </w:r>
          </w:p>
        </w:tc>
      </w:tr>
      <w:tr>
        <w:trPr/>
        <w:tc>
          <w:p w14:paraId="00100134" w14:textId="00100135">
            <w:r>
              <w:t xml:space="preserve">大型企业</w:t>
            </w:r>
          </w:p>
        </w:tc>
        <w:tc>
          <w:p w14:paraId="00100136" w14:textId="00100137">
            <w:r>
              <w:t xml:space="preserve">齐鲁制药、杭州中美华东制药、桂林南药</w:t>
            </w:r>
          </w:p>
        </w:tc>
      </w:tr>
      <w:tr>
        <w:trPr/>
        <w:tc>
          <w:p w14:paraId="00100138" w14:textId="00100139">
            <w:r>
              <w:t xml:space="preserve">制剂与原料一体</w:t>
            </w:r>
          </w:p>
        </w:tc>
        <w:tc>
          <w:p w14:paraId="0010013A" w14:textId="0010013B">
            <w:r>
              <w:t xml:space="preserve">四川国为制药、江苏德源药业、山东朗诺制药、湖南天地恒一制药（同时具备原辅包登记）</w:t>
            </w:r>
          </w:p>
        </w:tc>
      </w:tr>
      <w:tr>
        <w:trPr/>
        <w:tc>
          <w:p w14:paraId="0010013C" w14:textId="0010013D">
            <w:r>
              <w:t xml:space="preserve">其他申报人</w:t>
            </w:r>
          </w:p>
        </w:tc>
        <w:tc>
          <w:p w14:paraId="0010013E" w14:textId="0010013F">
            <w:r>
              <w:t xml:space="preserve">江西施美药业、九华华源与华益安徽、浙江益汉药业、湖南千金协力药业、北京华素制药、江西泰吉立药业、山东诺明康与诺禾康、江苏谦仁医药、辽宁鑫善源、杭州和康、广州大光、山西泽辰与鑫煜</w:t>
            </w:r>
          </w:p>
        </w:tc>
      </w:tr>
      <w:tr>
        <w:trPr/>
        <w:tc>
          <w:p w14:paraId="00100140" w14:textId="00100141">
            <w:r>
              <w:t xml:space="preserve">申报规格</w:t>
            </w:r>
          </w:p>
        </w:tc>
        <w:tc>
          <w:p w14:paraId="00100142" w14:textId="00100143">
            <w:r>
              <w:t xml:space="preserve">覆盖 0.5 mg、1 mg、2 mg 三档</w:t>
            </w:r>
          </w:p>
        </w:tc>
      </w:tr>
      <w:tr>
        <w:trPr/>
        <w:tc>
          <w:p w14:paraId="00100144" w14:textId="00100145">
            <w:r>
              <w:t xml:space="preserve">当前申请上市数</w:t>
            </w:r>
          </w:p>
        </w:tc>
        <w:tc>
          <w:p w14:paraId="00100146" w14:textId="00100147">
            <w:r>
              <w:t xml:space="preserve">apply_listing_num 为 20</w:t>
            </w:r>
          </w:p>
        </w:tc>
      </w:tr>
    </w:tbl>
    <w:p w14:paraId="00100148" w14:textId="0010045F">
      <w:pPr>
        <w:pStyle w:val="Heading2"/>
        <w:spacing w:before="240" w:after="120"/>
      </w:pPr>
      <w:r>
        <w:rPr>
          <w:rFonts w:eastAsia="黑体"/>
          <w:b/>
          <w:color w:val="2E5496"/>
          <w:sz w:val="28"/>
        </w:rPr>
        <w:t xml:space="preserve">5.3 BE 端竞争更为拥挤</w:t>
      </w:r>
    </w:p>
    <w:p w14:paraId="0010014A" w14:textId="0010014B">
      <w:pPr>
        <w:spacing w:after="160" w:line="336" w:lineRule="auto"/>
        <w:ind w:firstLine="240"/>
      </w:pPr>
      <w:r>
        <w:rPr>
          <w:sz w:val="22"/>
        </w:rPr>
        <w:t xml:space="preserve">ct_cn 库 53 条登记中，BE 申办方数量明显多于已进入 CDE 4 类审评的 19 家企业，出现在登记中的申办方还包括大连美创、南昌弘益、哈尔滨华瑞、浙江善渊、江苏海岸、普洛康裕、新乡常乐、天津怀仁、合肥力成、华润双鹤利民（济南）、四川新斯顿、远大（湖北）、安徽万邦、河北华晨、华北制药、湖南状元、海创、美诺华天康等。最新登记仍在持续新增，例如 CTR20263424（大连美创，2026-09-03 公示）、CTR20263189（南昌弘益，2026-08-20）、CTR20263223（哈尔滨华瑞，2026-08-19）。</w:t>
      </w:r>
    </w:p>
    <w:p w14:paraId="0010014C" w14:textId="0010014D">
      <w:pPr>
        <w:spacing w:after="160" w:line="336" w:lineRule="auto"/>
        <w:ind w:firstLine="240"/>
      </w:pPr>
      <w:r>
        <w:rPr>
          <w:sz w:val="22"/>
        </w:rPr>
        <w:t xml:space="preserve">这一结构说明：即使以「已申报企业 19 家」评估竞争也偏乐观，真实排队队列接近 50 家量级。竞争窗口维度因此只给 32 分，并在 2030 年情景中进一步下调至 22 分。</w:t>
      </w:r>
    </w:p>
    <w:p w14:paraId="0010014E" w14:textId="0010044B">
      <w:pPr>
        <w:pStyle w:val="Heading1"/>
        <w:pageBreakBefore/>
        <w:spacing w:after="240"/>
      </w:pPr>
      <w:r>
        <w:rPr>
          <w:rFonts w:eastAsia="黑体"/>
          <w:b/>
          <w:color w:val="1F3864"/>
          <w:sz w:val="36"/>
        </w:rPr>
        <w:t xml:space="preserve">六、专利与专利链接分析</w:t>
      </w:r>
    </w:p>
    <w:p w14:paraId="00100150" w14:textId="00100151">
      <w:pPr>
        <w:spacing w:after="160" w:line="336" w:lineRule="auto"/>
        <w:ind w:firstLine="240"/>
      </w:pPr>
      <w:r>
        <w:rPr>
          <w:sz w:val="22"/>
        </w:rPr>
        <w:t xml:space="preserve">本章是 P2 的唯一决定因素，也是本次立项结论的转折点。</w:t>
      </w:r>
    </w:p>
    <w:p w14:paraId="00100152" w14:textId="00100460">
      <w:pPr>
        <w:pStyle w:val="Heading2"/>
        <w:spacing w:before="240" w:after="120"/>
      </w:pPr>
      <w:r>
        <w:rPr>
          <w:rFonts w:eastAsia="黑体"/>
          <w:b/>
          <w:color w:val="2E5496"/>
          <w:sz w:val="28"/>
        </w:rPr>
        <w:t xml:space="preserve">6.1 专利登记信息</w:t>
      </w:r>
    </w:p>
    <w:p w14:paraId="00100154" w14:textId="00100155">
      <w:pPr>
        <w:spacing w:after="160" w:line="336" w:lineRule="auto"/>
        <w:ind w:firstLine="240"/>
      </w:pPr>
      <w:r>
        <w:rPr>
          <w:sz w:val="22"/>
        </w:rPr>
        <w:t xml:space="preserve">zldj 库中，原研两个批文（HJ20240163、HJ20240164）于 2024 年 12 月 25 日公示登记专利两件。</w:t>
      </w:r>
    </w:p>
    <w:p w14:paraId="00100156" w14:textId="0010047F">
      <w:pPr>
        <w:keepNext/>
        <w:spacing w:after="80"/>
      </w:pPr>
      <w:r>
        <w:rPr>
          <w:b/>
          <w:color w:val="44546A"/>
          <w:sz w:val="20"/>
        </w:rPr>
        <w:t xml:space="preserve">表 6-1　登记专利明细（来源：zldj）</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2267"/>
        <w:gridCol w:w="2267"/>
        <w:gridCol w:w="2267"/>
        <w:gridCol w:w="2267"/>
      </w:tblGrid>
      <w:tr>
        <w:trPr>
          <w:tblHeader/>
        </w:trPr>
        <w:tc>
          <w:p w14:paraId="00100158" w14:textId="00100159">
            <w:r>
              <w:t xml:space="preserve">专利号与名称</w:t>
            </w:r>
          </w:p>
        </w:tc>
        <w:tc>
          <w:p w14:paraId="0010015A" w14:textId="0010015B">
            <w:r>
              <w:t xml:space="preserve">登记权利类型</w:t>
            </w:r>
          </w:p>
        </w:tc>
        <w:tc>
          <w:p w14:paraId="0010015C" w14:textId="0010015D">
            <w:r>
              <w:t xml:space="preserve">授权日 / 有效期</w:t>
            </w:r>
          </w:p>
        </w:tc>
        <w:tc>
          <w:p w14:paraId="0010015E" w14:textId="0010015F">
            <w:r>
              <w:t xml:space="preserve">权利人与许可</w:t>
            </w:r>
          </w:p>
        </w:tc>
      </w:tr>
      <w:tr>
        <w:trPr/>
        <w:tc>
          <w:p w14:paraId="00100160" w14:textId="00100161">
            <w:r>
              <w:t xml:space="preserve">ZL201080042866.9　新型苯酚衍生物</w:t>
            </w:r>
          </w:p>
        </w:tc>
        <w:tc>
          <w:p w14:paraId="00100162" w14:textId="00100163">
            <w:r>
              <w:t xml:space="preserve">化合物、组合物、用途</w:t>
            </w:r>
          </w:p>
        </w:tc>
        <w:tc>
          <w:p w14:paraId="00100164" w14:textId="00100165">
            <w:r>
              <w:t xml:space="preserve">授权 2015-03-25；三类权利均有效至 2030-09-28</w:t>
            </w:r>
          </w:p>
        </w:tc>
        <w:tc>
          <w:p w14:paraId="00100166" w14:textId="00100167">
            <w:r>
              <w:t xml:space="preserve">富士药品；被许可人为卫材株式会社、卫材（中国）药业</w:t>
            </w:r>
          </w:p>
        </w:tc>
      </w:tr>
      <w:tr>
        <w:trPr/>
        <w:tc>
          <w:p w14:paraId="00100168" w14:textId="00100169">
            <w:r>
              <w:t xml:space="preserve">ZL201880027057.7　晶型及其盐</w:t>
            </w:r>
          </w:p>
        </w:tc>
        <w:tc>
          <w:p w14:paraId="0010016A" w14:textId="0010016B">
            <w:r>
              <w:t xml:space="preserve">组合物（晶型）</w:t>
            </w:r>
          </w:p>
        </w:tc>
        <w:tc>
          <w:p w14:paraId="0010016C" w14:textId="0010016D">
            <w:r>
              <w:t xml:space="preserve">授权 2023-03-10；公示有效至 2038-04-26</w:t>
            </w:r>
          </w:p>
        </w:tc>
        <w:tc>
          <w:p w14:paraId="0010016E" w14:textId="0010016F">
            <w:r>
              <w:t xml:space="preserve">富士药品</w:t>
            </w:r>
          </w:p>
        </w:tc>
      </w:tr>
    </w:tbl>
    <w:p w14:paraId="00100170" w14:textId="00100461">
      <w:pPr>
        <w:pStyle w:val="Heading2"/>
        <w:spacing w:before="240" w:after="120"/>
      </w:pPr>
      <w:r>
        <w:rPr>
          <w:rFonts w:eastAsia="黑体"/>
          <w:b/>
          <w:color w:val="2E5496"/>
          <w:sz w:val="28"/>
        </w:rPr>
        <w:t xml:space="preserve">6.2 专利声明口径</w:t>
      </w:r>
    </w:p>
    <w:p w14:paraId="00100172" w14:textId="00100173">
      <w:pPr>
        <w:spacing w:after="160" w:line="336" w:lineRule="auto"/>
        <w:ind w:firstLine="240"/>
      </w:pPr>
      <w:r>
        <w:rPr>
          <w:sz w:val="22"/>
        </w:rPr>
        <w:t xml:space="preserve">zlsm 库该品种声明共 38 条。按中国专利链接制度的四类声明归纳，行业出现了高度一致的分化。</w:t>
      </w:r>
    </w:p>
    <w:p w14:paraId="00100174" w14:textId="00100480">
      <w:pPr>
        <w:keepNext/>
        <w:spacing w:after="80"/>
      </w:pPr>
      <w:r>
        <w:rPr>
          <w:b/>
          <w:color w:val="44546A"/>
          <w:sz w:val="20"/>
        </w:rPr>
        <w:t xml:space="preserve">表 6-2　声明类型分布与含义（来源：zlsm）</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3023"/>
        <w:gridCol w:w="3023"/>
        <w:gridCol w:w="3023"/>
      </w:tblGrid>
      <w:tr>
        <w:trPr>
          <w:tblHeader/>
        </w:trPr>
        <w:tc>
          <w:p w14:paraId="00100176" w14:textId="00100177">
            <w:r>
              <w:t xml:space="preserve">针对专利</w:t>
            </w:r>
          </w:p>
        </w:tc>
        <w:tc>
          <w:p w14:paraId="00100178" w14:textId="00100179">
            <w:r>
              <w:t xml:space="preserve">主流声明类型</w:t>
            </w:r>
          </w:p>
        </w:tc>
        <w:tc>
          <w:p w14:paraId="0010017A" w14:textId="0010017B">
            <w:r>
              <w:t xml:space="preserve">对上市的实际含义</w:t>
            </w:r>
          </w:p>
        </w:tc>
      </w:tr>
      <w:tr>
        <w:trPr/>
        <w:tc>
          <w:p w14:paraId="0010017C" w14:textId="0010017D">
            <w:r>
              <w:t xml:space="preserve">化合物 ZL201080042866.9</w:t>
            </w:r>
          </w:p>
        </w:tc>
        <w:tc>
          <w:p w14:paraId="0010017E" w14:textId="0010017F">
            <w:r>
              <w:t xml:space="preserve">绝大多数为 3 类（承诺专利权有效期届满前不上市）。北京华素明确写明「有效期届满前暂不上市」</w:t>
            </w:r>
          </w:p>
        </w:tc>
        <w:tc>
          <w:p w14:paraId="00100180" w14:textId="00100181">
            <w:r>
              <w:t xml:space="preserve">构成硬约束。选择 3 类声明即等于自我承诺在 2030-09-28 之前不销售</w:t>
            </w:r>
          </w:p>
        </w:tc>
      </w:tr>
      <w:tr>
        <w:trPr/>
        <w:tc>
          <w:p w14:paraId="00100182" w14:textId="00100183">
            <w:r>
              <w:t xml:space="preserve">晶型 ZL201880027057.7</w:t>
            </w:r>
          </w:p>
        </w:tc>
        <w:tc>
          <w:p w14:paraId="00100184" w14:textId="00100185">
            <w:r>
              <w:t xml:space="preserve">大量为 2 类，理由为「该专利已被宣告无效」或「不属于可登记类型」，并引用（2023）最高法知民终 7 号</w:t>
            </w:r>
          </w:p>
        </w:tc>
        <w:tc>
          <w:p w14:paraId="00100186" w14:textId="00100187">
            <w:r>
              <w:t xml:space="preserve">阻挡力弱。不单独构成对 2030 年后仿制上市的否决因素</w:t>
            </w:r>
          </w:p>
        </w:tc>
      </w:tr>
      <w:tr>
        <w:trPr/>
        <w:tc>
          <w:p w14:paraId="00100188" w14:textId="00100189">
            <w:r>
              <w:t xml:space="preserve">天地恒一（例外路线）</w:t>
            </w:r>
          </w:p>
        </w:tc>
        <w:tc>
          <w:p w14:paraId="0010018A" w14:textId="0010018B">
            <w:r>
              <w:t xml:space="preserve">对化合物专利作 4.1 类（应被宣告无效），对晶型专利作 4.2 类（不应登记）</w:t>
            </w:r>
          </w:p>
        </w:tc>
        <w:tc>
          <w:p w14:paraId="0010018C" w14:textId="0010018D">
            <w:r>
              <w:t xml:space="preserve">属于主动挑战路线，成立则可提前上市，失败则面临等待期与诉讼成本</w:t>
            </w:r>
          </w:p>
        </w:tc>
      </w:tr>
    </w:tbl>
    <w:p w14:paraId="0010018E" w14:textId="00100462">
      <w:pPr>
        <w:pStyle w:val="Heading2"/>
        <w:spacing w:before="240" w:after="120"/>
      </w:pPr>
      <w:r>
        <w:rPr>
          <w:rFonts w:eastAsia="黑体"/>
          <w:b/>
          <w:color w:val="2E5496"/>
          <w:sz w:val="28"/>
        </w:rPr>
        <w:t xml:space="preserve">6.3 P2 判定</w:t>
      </w:r>
    </w:p>
    <w:p w14:paraId="00100190" w14:textId="00100191">
      <w:pPr>
        <w:spacing w:after="160" w:line="336" w:lineRule="auto"/>
        <w:ind w:firstLine="240"/>
      </w:pPr>
      <w:r>
        <w:rPr>
          <w:sz w:val="22"/>
        </w:rPr>
        <w:t xml:space="preserve">综合判断：晶型专利对上市的阻挡力弱，行业已形成一致认知；化合物专利在 2030 年 9 月 28 日之前是实质性障碍，除非无效请求成功。因此 P2 在「现在即上市」情景下只给 18 分，在「2030 年 9 月后上市」情景下给 76 分，在「4.1 类挑战成功」情景下给 50 分（成功概率与诉讼成本对冲后的折中值）。</w:t>
      </w:r>
    </w:p>
    <w:p w14:paraId="00100192" w14:textId="00100193">
      <w:pPr>
        <w:spacing w:after="160" w:line="336" w:lineRule="auto"/>
        <w:ind w:firstLine="240"/>
      </w:pPr>
      <w:r>
        <w:rPr>
          <w:sz w:val="22"/>
        </w:rPr>
        <w:t xml:space="preserve">须强调三点局限：一是本章依据为申请人自行申报的声明口径，药海 nmpa_reg_patent 库对本品种检索结果为 0 条，未能交叉验证；二是晶型专利被宣告无效的判决全文未逐件核验，仅见声明中对（2023）最高法知民终 7 号的引用；三是专利到期日以 zldj 公示为准，未核查是否存在专利权期限补偿或同族分案。以上三点均应在正式 FTO 意见中闭环。</w:t>
      </w:r>
    </w:p>
    <w:p w14:paraId="00100194" w14:textId="0010044C">
      <w:pPr>
        <w:pStyle w:val="Heading1"/>
        <w:pageBreakBefore/>
        <w:spacing w:after="240"/>
      </w:pPr>
      <w:r>
        <w:rPr>
          <w:rFonts w:eastAsia="黑体"/>
          <w:b/>
          <w:color w:val="1F3864"/>
          <w:sz w:val="36"/>
        </w:rPr>
        <w:t xml:space="preserve">七、原料药与技术可行性</w:t>
      </w:r>
    </w:p>
    <w:p w14:paraId="00100196" w14:textId="00100197">
      <w:pPr>
        <w:spacing w:after="160" w:line="336" w:lineRule="auto"/>
        <w:ind w:firstLine="240"/>
      </w:pPr>
      <w:r>
        <w:rPr>
          <w:sz w:val="22"/>
        </w:rPr>
        <w:t xml:space="preserve">cde_yfb_registration（原辅包登记）库中，多替诺雷原料药登记共 14 家，登记年份集中在 2025 至 2026 年，登记状态全部为「I」，即尚未与制剂共同审评通过。</w:t>
      </w:r>
    </w:p>
    <w:p w14:paraId="00100198" w14:textId="00100481">
      <w:pPr>
        <w:keepNext/>
        <w:spacing w:after="80"/>
      </w:pPr>
      <w:r>
        <w:rPr>
          <w:b/>
          <w:color w:val="44546A"/>
          <w:sz w:val="20"/>
        </w:rPr>
        <w:t xml:space="preserve">表 7-1　原料药登记情况（来源：cde_yfb_registration）</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4535"/>
        <w:gridCol w:w="4535"/>
      </w:tblGrid>
      <w:tr>
        <w:trPr>
          <w:tblHeader/>
        </w:trPr>
        <w:tc>
          <w:p w14:paraId="0010019A" w14:textId="0010019B">
            <w:r>
              <w:t xml:space="preserve">项目</w:t>
            </w:r>
          </w:p>
        </w:tc>
        <w:tc>
          <w:p w14:paraId="0010019C" w14:textId="0010019D">
            <w:r>
              <w:t xml:space="preserve">内容</w:t>
            </w:r>
          </w:p>
        </w:tc>
      </w:tr>
      <w:tr>
        <w:trPr/>
        <w:tc>
          <w:p w14:paraId="0010019E" w14:textId="0010019F">
            <w:r>
              <w:t xml:space="preserve">登记数量与状态</w:t>
            </w:r>
          </w:p>
        </w:tc>
        <w:tc>
          <w:p w14:paraId="001001A0" w14:textId="001001A1">
            <w:r>
              <w:t xml:space="preserve">14 家，全部为状态 I（尚未与制剂共同审评）</w:t>
            </w:r>
          </w:p>
        </w:tc>
      </w:tr>
      <w:tr>
        <w:trPr/>
        <w:tc>
          <w:p w14:paraId="001001A2" w14:textId="001001A3">
            <w:r>
              <w:t xml:space="preserve">登记企业</w:t>
            </w:r>
          </w:p>
        </w:tc>
        <w:tc>
          <w:p w14:paraId="001001A4" w14:textId="001001A5">
            <w:r>
              <w:t xml:space="preserve">山东艾格林、珠海海瑞德、华东医药（西安）博华、华北制药华胜、四川国为、湖北天舒、渭南瑞联、吉林博大、江苏德源、山东济坤、上海迪赛诺化学、山东朗诺、湖南天地恒一、广东先强</w:t>
            </w:r>
          </w:p>
        </w:tc>
      </w:tr>
      <w:tr>
        <w:trPr/>
        <w:tc>
          <w:p w14:paraId="001001A6" w14:textId="001001A7">
            <w:r>
              <w:t xml:space="preserve">境外 DMF</w:t>
            </w:r>
          </w:p>
        </w:tc>
        <w:tc>
          <w:p w14:paraId="001001A8" w14:textId="001001A9">
            <w:r>
              <w:t xml:space="preserve">fda_dmf 检索 Dotinurad 为 0 条；日本 DMF 未检索到对应记录</w:t>
            </w:r>
          </w:p>
        </w:tc>
      </w:tr>
      <w:tr>
        <w:trPr/>
        <w:tc>
          <w:p w14:paraId="001001AA" w14:textId="001001AB">
            <w:r>
              <w:t xml:space="preserve">制剂技术特征</w:t>
            </w:r>
          </w:p>
        </w:tc>
        <w:tc>
          <w:p w14:paraId="001001AC" w14:textId="001001AD">
            <w:r>
              <w:t xml:space="preserve">口服常释片，规格 1 mg / 2 mg，BE 采用空腹与餐后双周期双交叉设计，行业已大规模跑通</w:t>
            </w:r>
          </w:p>
        </w:tc>
      </w:tr>
    </w:tbl>
    <w:p w14:paraId="001001AE" w14:textId="001001AF">
      <w:pPr>
        <w:spacing w:before="200" w:after="160" w:line="336" w:lineRule="auto"/>
        <w:ind w:firstLine="240"/>
      </w:pPr>
      <w:r>
        <w:rPr>
          <w:sz w:val="22"/>
        </w:rPr>
        <w:t xml:space="preserve">技术可行性判断：原料供应已充分铺开，14 家登记远超一个品种的实际需求，议价空间良好，其中四川国为、江苏德源、山东朗诺、天地恒一同时具备制剂申报与原料登记，具备一体化优势。但全部登记停留在 I 状态，意味着关联审评节奏仍存在不确定性，且尚无任何一家完成与制剂的共同审评。叠加说明书库为空、BCS 分类与溶出行为无公开依据，CMC 与 BE 维度给 82 分而非 90 分以上。</w:t>
      </w:r>
    </w:p>
    <w:p w14:paraId="001001B0" w14:textId="0010044D">
      <w:pPr>
        <w:pStyle w:val="Heading1"/>
        <w:pageBreakBefore/>
        <w:spacing w:after="240"/>
      </w:pPr>
      <w:r>
        <w:rPr>
          <w:rFonts w:eastAsia="黑体"/>
          <w:b/>
          <w:color w:val="1F3864"/>
          <w:sz w:val="36"/>
        </w:rPr>
        <w:t xml:space="preserve">八、临床定位与同类替代</w:t>
      </w:r>
    </w:p>
    <w:p w14:paraId="001001B2" w14:textId="00100463">
      <w:pPr>
        <w:pStyle w:val="Heading2"/>
        <w:spacing w:before="240" w:after="120"/>
      </w:pPr>
      <w:r>
        <w:rPr>
          <w:rFonts w:eastAsia="黑体"/>
          <w:b/>
          <w:color w:val="2E5496"/>
          <w:sz w:val="28"/>
        </w:rPr>
        <w:t xml:space="preserve">8.1 临床证据</w:t>
      </w:r>
    </w:p>
    <w:p w14:paraId="001001B4" w14:textId="0010042A">
      <w:pPr>
        <w:spacing w:after="160" w:line="336" w:lineRule="auto"/>
        <w:ind w:firstLine="240"/>
      </w:pPr>
      <w:r>
        <w:rPr>
          <w:sz w:val="22"/>
        </w:rPr>
        <w:t xml:space="preserve">ct_global 库收录该品种 8 条境外试验。原研在中国的 III 期研究以非布司他为对照（NCT05007392，申办方卫材中国，状态已完成）；另有 DIANA-NEXT 研究同样对照非布司他。美国方面，Crystalys Therapeutics 正在开展以别嘌醇为对照的 II 期与 III 期研究（NCT07089875、NCT07089888、NCT07535034），但美国尚无上市批件，product_us 检索为 0 条，欧盟 product_eu 亦为 0 条。国内除 BE 外，ChiCTR 收录青岛大学附属医院开展的混合型痛风非布司他对照多替诺雷随机对照研究。</w:t>
      </w:r>
    </w:p>
    <w:p w14:paraId="001001B6" w14:textId="001001B7">
      <w:pPr>
        <w:spacing w:after="160" w:line="336" w:lineRule="auto"/>
        <w:ind w:firstLine="240"/>
      </w:pPr>
      <w:r>
        <w:rPr>
          <w:sz w:val="22"/>
        </w:rPr>
        <w:t xml:space="preserve">临床定位可以概括为：本品是以非布司他为主要比较对象进入中国市场的新机制降尿酸药，定位于需要促尿酸排泄或对 XO 抑制剂控制不佳的患者，而非全面替代一线老药。</w:t>
      </w:r>
    </w:p>
    <w:p w14:paraId="001001B8" w14:textId="00100464">
      <w:pPr>
        <w:pStyle w:val="Heading2"/>
        <w:spacing w:before="240" w:after="120"/>
      </w:pPr>
      <w:r>
        <w:rPr>
          <w:rFonts w:eastAsia="黑体"/>
          <w:b/>
          <w:color w:val="2E5496"/>
          <w:sz w:val="28"/>
        </w:rPr>
        <w:t xml:space="preserve">8.2 同类品种竞争基线</w:t>
      </w:r>
    </w:p>
    <w:p w14:paraId="001001BA" w14:textId="00100482">
      <w:pPr>
        <w:keepNext/>
        <w:spacing w:after="80"/>
      </w:pPr>
      <w:r>
        <w:rPr>
          <w:b/>
          <w:color w:val="44546A"/>
          <w:sz w:val="20"/>
        </w:rPr>
        <w:t xml:space="preserve">表 8-1　降尿酸口服品种竞争基线（来源：generic_cn、jicai）</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1511"/>
        <w:gridCol w:w="1511"/>
        <w:gridCol w:w="1511"/>
        <w:gridCol w:w="1511"/>
        <w:gridCol w:w="1511"/>
        <w:gridCol w:w="1511"/>
      </w:tblGrid>
      <w:tr>
        <w:trPr>
          <w:tblHeader/>
        </w:trPr>
        <w:tc>
          <w:p w14:paraId="001001BC" w14:textId="001001BD">
            <w:r>
              <w:t xml:space="preserve">品种</w:t>
            </w:r>
          </w:p>
        </w:tc>
        <w:tc>
          <w:p w14:paraId="001001BE" w14:textId="001001BF">
            <w:r>
              <w:t xml:space="preserve">中国上市</w:t>
            </w:r>
          </w:p>
        </w:tc>
        <w:tc>
          <w:p w14:paraId="001001C0" w14:textId="001001C1">
            <w:r>
              <w:t xml:space="preserve">已过评</w:t>
            </w:r>
          </w:p>
        </w:tc>
        <w:tc>
          <w:p w14:paraId="001001C2" w14:textId="001001C3">
            <w:r>
              <w:t xml:space="preserve">仿制申请</w:t>
            </w:r>
          </w:p>
        </w:tc>
        <w:tc>
          <w:p w14:paraId="001001C4" w14:textId="001001C5">
            <w:r>
              <w:t xml:space="preserve">BE 登记</w:t>
            </w:r>
          </w:p>
        </w:tc>
        <w:tc>
          <w:p w14:paraId="001001C6" w14:textId="001001C7">
            <w:r>
              <w:t xml:space="preserve">集采</w:t>
            </w:r>
          </w:p>
        </w:tc>
      </w:tr>
      <w:tr>
        <w:trPr/>
        <w:tc>
          <w:p w14:paraId="001001C8" w14:textId="001001C9">
            <w:r>
              <w:t xml:space="preserve">多替诺雷片</w:t>
            </w:r>
          </w:p>
        </w:tc>
        <w:tc>
          <w:p w14:paraId="001001CA" w14:textId="001001CB">
            <w:r>
              <w:t xml:space="preserve">1</w:t>
            </w:r>
          </w:p>
        </w:tc>
        <w:tc>
          <w:p w14:paraId="001001CC" w14:textId="001001CD">
            <w:r>
              <w:t xml:space="preserve">0</w:t>
            </w:r>
          </w:p>
        </w:tc>
        <w:tc>
          <w:p w14:paraId="001001CE" w14:textId="001001CF">
            <w:r>
              <w:t xml:space="preserve">19</w:t>
            </w:r>
          </w:p>
        </w:tc>
        <w:tc>
          <w:p w14:paraId="001001D0" w14:textId="001001D1">
            <w:r>
              <w:t xml:space="preserve">51</w:t>
            </w:r>
          </w:p>
        </w:tc>
        <w:tc>
          <w:p w14:paraId="001001D2" w14:textId="001001D3">
            <w:r>
              <w:t xml:space="preserve">0</w:t>
            </w:r>
          </w:p>
        </w:tc>
      </w:tr>
      <w:tr>
        <w:trPr/>
        <w:tc>
          <w:p w14:paraId="001001D4" w14:textId="001001D5">
            <w:r>
              <w:t xml:space="preserve">非布司他片</w:t>
            </w:r>
          </w:p>
        </w:tc>
        <w:tc>
          <w:p w14:paraId="001001D6" w14:textId="001001D7">
            <w:r>
              <w:t xml:space="preserve">45</w:t>
            </w:r>
          </w:p>
        </w:tc>
        <w:tc>
          <w:p w14:paraId="001001D8" w14:textId="001001D9">
            <w:r>
              <w:t xml:space="preserve">85</w:t>
            </w:r>
          </w:p>
        </w:tc>
        <w:tc>
          <w:p w14:paraId="001001DA" w14:textId="001001DB">
            <w:r>
              <w:t xml:space="preserve">55</w:t>
            </w:r>
          </w:p>
        </w:tc>
        <w:tc>
          <w:p w14:paraId="001001DC" w14:textId="001001DD">
            <w:r>
              <w:t xml:space="preserve">86</w:t>
            </w:r>
          </w:p>
        </w:tc>
        <w:tc>
          <w:p w14:paraId="001001DE" w14:textId="001001DF">
            <w:r>
              <w:t xml:space="preserve">48</w:t>
            </w:r>
          </w:p>
        </w:tc>
      </w:tr>
      <w:tr>
        <w:trPr/>
        <w:tc>
          <w:p w14:paraId="001001E0" w14:textId="001001E1">
            <w:r>
              <w:t xml:space="preserve">苯溴马隆片</w:t>
            </w:r>
          </w:p>
        </w:tc>
        <w:tc>
          <w:p w14:paraId="001001E2" w14:textId="001001E3">
            <w:r>
              <w:t xml:space="preserve">7</w:t>
            </w:r>
          </w:p>
        </w:tc>
        <w:tc>
          <w:p w14:paraId="001001E4" w14:textId="001001E5">
            <w:r>
              <w:t xml:space="preserve">8</w:t>
            </w:r>
          </w:p>
        </w:tc>
        <w:tc>
          <w:p w14:paraId="001001E6" w14:textId="001001E7">
            <w:r>
              <w:t xml:space="preserve">10</w:t>
            </w:r>
          </w:p>
        </w:tc>
        <w:tc>
          <w:p w14:paraId="001001E8" w14:textId="001001E9">
            <w:r>
              <w:t xml:space="preserve">16</w:t>
            </w:r>
          </w:p>
        </w:tc>
        <w:tc>
          <w:p w14:paraId="001001EA" w14:textId="001001EB">
            <w:r>
              <w:t xml:space="preserve">0</w:t>
            </w:r>
          </w:p>
        </w:tc>
      </w:tr>
      <w:tr>
        <w:trPr/>
        <w:tc>
          <w:p w14:paraId="001001EC" w14:textId="001001ED">
            <w:r>
              <w:t xml:space="preserve">别嘌醇片</w:t>
            </w:r>
          </w:p>
        </w:tc>
        <w:tc>
          <w:p w14:paraId="001001EE" w14:textId="001001EF">
            <w:r>
              <w:t xml:space="preserve">20</w:t>
            </w:r>
          </w:p>
        </w:tc>
        <w:tc>
          <w:p w14:paraId="001001F0" w14:textId="001001F1">
            <w:r>
              <w:t xml:space="preserve">8</w:t>
            </w:r>
          </w:p>
        </w:tc>
        <w:tc>
          <w:p w14:paraId="001001F2" w14:textId="001001F3">
            <w:r>
              <w:t xml:space="preserve">7</w:t>
            </w:r>
          </w:p>
        </w:tc>
        <w:tc>
          <w:p w14:paraId="001001F4" w14:textId="001001F5">
            <w:r>
              <w:t xml:space="preserve">15</w:t>
            </w:r>
          </w:p>
        </w:tc>
        <w:tc>
          <w:p w14:paraId="001001F6" w14:textId="001001F7">
            <w:r>
              <w:t xml:space="preserve">0</w:t>
            </w:r>
          </w:p>
        </w:tc>
      </w:tr>
      <w:tr>
        <w:trPr/>
        <w:tc>
          <w:p w14:paraId="001001F8" w14:textId="001001F9">
            <w:r>
              <w:t xml:space="preserve">别嘌醇缓释胶囊</w:t>
            </w:r>
          </w:p>
        </w:tc>
        <w:tc>
          <w:p w14:paraId="001001FA" w14:textId="001001FB">
            <w:r>
              <w:t xml:space="preserve">0</w:t>
            </w:r>
          </w:p>
        </w:tc>
        <w:tc>
          <w:p w14:paraId="001001FC" w14:textId="001001FD">
            <w:r>
              <w:t xml:space="preserve">1</w:t>
            </w:r>
          </w:p>
        </w:tc>
        <w:tc>
          <w:p w14:paraId="001001FE" w14:textId="001001FF">
            <w:r>
              <w:t xml:space="preserve">1</w:t>
            </w:r>
          </w:p>
        </w:tc>
        <w:tc>
          <w:p w14:paraId="00100200" w14:textId="00100201">
            <w:r>
              <w:t xml:space="preserve">4</w:t>
            </w:r>
          </w:p>
        </w:tc>
        <w:tc>
          <w:p w14:paraId="00100202" w14:textId="00100203">
            <w:r>
              <w:t xml:space="preserve">0</w:t>
            </w:r>
          </w:p>
        </w:tc>
      </w:tr>
    </w:tbl>
    <w:p w14:paraId="00100204" w14:textId="00100483">
      <w:pPr>
        <w:keepNext/>
        <w:spacing w:before="160" w:after="80"/>
      </w:pPr>
      <w:r>
        <w:rPr>
          <w:b/>
          <w:color w:val="44546A"/>
          <w:sz w:val="20"/>
        </w:rPr>
        <w:t xml:space="preserve">图 8-1　同类品种竞争基线对比（来源：generic_cn）</w:t>
      </w:r>
    </w:p>
    <w:p w14:paraId="00100440" w14:textId="00100441"/>
    <w:p w14:paraId="00100206" w14:textId="00100207"/>
    <w:p w14:paraId="00100208" w14:textId="00100209">
      <w:pPr>
        <w:spacing w:before="200" w:after="160" w:line="336" w:lineRule="auto"/>
        <w:ind w:firstLine="240"/>
      </w:pPr>
      <w:r>
        <w:rPr>
          <w:sz w:val="22"/>
        </w:rPr>
        <w:t xml:space="preserve">非布司他的集采价格是判断未来价格天花板的重要参照：jicai 库中以「非布司他」检索命中 814 条，含大量省级带量采购中选记录，例如 2023 年广东省集采中，20 mg 规格中选价 8.40 元、40 mg 规格中选价 14.00 至 54.56 元，最小单位价落在 0.60 至 1.02 元区间。对照多替诺雷当前 19.96 元的片价，二者相差一个数量级以上，这是 P3 竞争窗口维度被压低的核心原因。</w:t>
      </w:r>
    </w:p>
    <w:p w14:paraId="0010020A" w14:textId="0010044E">
      <w:pPr>
        <w:pStyle w:val="Heading1"/>
        <w:pageBreakBefore/>
        <w:spacing w:after="240"/>
      </w:pPr>
      <w:r>
        <w:rPr>
          <w:rFonts w:eastAsia="黑体"/>
          <w:b/>
          <w:color w:val="1F3864"/>
          <w:sz w:val="36"/>
        </w:rPr>
        <w:t xml:space="preserve">九、市场准入：医保、集采与招标挂网</w:t>
      </w:r>
    </w:p>
    <w:p w14:paraId="0010020C" w14:textId="00100465">
      <w:pPr>
        <w:pStyle w:val="Heading2"/>
        <w:spacing w:before="240" w:after="120"/>
      </w:pPr>
      <w:r>
        <w:rPr>
          <w:rFonts w:eastAsia="黑体"/>
          <w:b/>
          <w:color w:val="2E5496"/>
          <w:sz w:val="28"/>
        </w:rPr>
        <w:t xml:space="preserve">9.1 医保与集采身份</w:t>
      </w:r>
    </w:p>
    <w:p w14:paraId="0010020E" w14:textId="00100484">
      <w:pPr>
        <w:keepNext/>
        <w:spacing w:after="80"/>
      </w:pPr>
      <w:r>
        <w:rPr>
          <w:b/>
          <w:color w:val="44546A"/>
          <w:sz w:val="20"/>
        </w:rPr>
        <w:t xml:space="preserve">表 9-1　市场准入身份（来源：yibao、nhsa_code、jiyao、jicai）</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4535"/>
        <w:gridCol w:w="4535"/>
      </w:tblGrid>
      <w:tr>
        <w:trPr>
          <w:tblHeader/>
        </w:trPr>
        <w:tc>
          <w:p w14:paraId="00100210" w14:textId="00100211">
            <w:r>
              <w:t xml:space="preserve">维度</w:t>
            </w:r>
          </w:p>
        </w:tc>
        <w:tc>
          <w:p w14:paraId="00100212" w14:textId="00100213">
            <w:r>
              <w:t xml:space="preserve">状态</w:t>
            </w:r>
          </w:p>
        </w:tc>
      </w:tr>
      <w:tr>
        <w:trPr/>
        <w:tc>
          <w:p w14:paraId="00100214" w14:textId="00100215">
            <w:r>
              <w:t xml:space="preserve">国家医保目录</w:t>
            </w:r>
          </w:p>
        </w:tc>
        <w:tc>
          <w:p w14:paraId="00100216" w14:textId="00100217">
            <w:r>
              <w:t xml:space="preserve">2025 版国家谈判药品，乙类；依据医保发〔2025〕33 号，2025-12-07 公布；协议执行期 2026-01-01 至 2027-12-31；限痛风伴高尿酸血症患者</w:t>
            </w:r>
          </w:p>
        </w:tc>
      </w:tr>
      <w:tr>
        <w:trPr/>
        <w:tc>
          <w:p w14:paraId="00100218" w14:textId="00100219">
            <w:r>
              <w:t xml:space="preserve">医保编码</w:t>
            </w:r>
          </w:p>
        </w:tc>
        <w:tc>
          <w:p w14:paraId="0010021A" w14:textId="0010021B">
            <w:r>
              <w:t xml:space="preserve">保险编号 313 / TX313；2 mg×14 片盒装药品代码 XM04ABD376A001010185383，2 mg×28 片盒装 XM04ABD376A001010285383；药品本位码 86985383000024</w:t>
            </w:r>
          </w:p>
        </w:tc>
      </w:tr>
      <w:tr>
        <w:trPr/>
        <w:tc>
          <w:p w14:paraId="0010021C" w14:textId="0010021D">
            <w:r>
              <w:t xml:space="preserve">基本药物目录</w:t>
            </w:r>
          </w:p>
        </w:tc>
        <w:tc>
          <w:p w14:paraId="0010021E" w14:textId="0010021F">
            <w:r>
              <w:t xml:space="preserve">未收录（jiyao 检索为 0）</w:t>
            </w:r>
          </w:p>
        </w:tc>
      </w:tr>
      <w:tr>
        <w:trPr/>
        <w:tc>
          <w:p w14:paraId="00100220" w14:textId="00100221">
            <w:r>
              <w:t xml:space="preserve">集中带量采购</w:t>
            </w:r>
          </w:p>
        </w:tc>
        <w:tc>
          <w:p w14:paraId="00100222" w14:textId="00100223">
            <w:r>
              <w:t xml:space="preserve">本品种为 0 条；尚无企业过评，短期不具备国采条件</w:t>
            </w:r>
          </w:p>
        </w:tc>
      </w:tr>
      <w:tr>
        <w:trPr/>
        <w:tc>
          <w:p w14:paraId="00100224" w14:textId="00100225">
            <w:r>
              <w:t xml:space="preserve">招标挂网</w:t>
            </w:r>
          </w:p>
        </w:tc>
        <w:tc>
          <w:p w14:paraId="00100226" w14:textId="00100227">
            <w:r>
              <w:t xml:space="preserve">zhaobiao 库以药品名称检索命中 43 条，覆盖 17 省，详见 9.2</w:t>
            </w:r>
          </w:p>
        </w:tc>
      </w:tr>
    </w:tbl>
    <w:p w14:paraId="00100228" w14:textId="00100466">
      <w:pPr>
        <w:pStyle w:val="Heading2"/>
        <w:spacing w:before="240" w:after="120"/>
      </w:pPr>
      <w:r>
        <w:rPr>
          <w:rFonts w:eastAsia="黑体"/>
          <w:b/>
          <w:color w:val="2E5496"/>
          <w:sz w:val="28"/>
        </w:rPr>
        <w:t xml:space="preserve">9.2 招标挂网数据分析</w:t>
      </w:r>
    </w:p>
    <w:p w14:paraId="0010022A" w14:textId="0010022B">
      <w:pPr>
        <w:spacing w:after="160" w:line="336" w:lineRule="auto"/>
        <w:ind w:firstLine="240"/>
      </w:pPr>
      <w:r>
        <w:rPr>
          <w:sz w:val="22"/>
        </w:rPr>
        <w:t xml:space="preserve">zhaobiao 库 43 条记录具有高度同质性：全部为 2 mg 规格、批准文号均为 HJ20240164、生产企业均为 FUJI YAKUHIN CO., LTD. Toyama Plant，投标与配送企业多次记载为卫材（中国）药业有限公司，其中 12 条明确标注商品名「优乐思」。库中不存在任何仿制药挂网记录，也不存在 1 mg 规格挂网记录。</w:t>
      </w:r>
    </w:p>
    <w:p w14:paraId="0010022C" w14:textId="00100485">
      <w:pPr>
        <w:keepNext/>
        <w:spacing w:after="80"/>
      </w:pPr>
      <w:r>
        <w:rPr>
          <w:b/>
          <w:color w:val="44546A"/>
          <w:sz w:val="20"/>
        </w:rPr>
        <w:t xml:space="preserve">表 9-2　挂网记录结构（来源：zhaobiao）</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4535"/>
        <w:gridCol w:w="4535"/>
      </w:tblGrid>
      <w:tr>
        <w:trPr>
          <w:tblHeader/>
        </w:trPr>
        <w:tc>
          <w:p w14:paraId="0010022E" w14:textId="0010022F">
            <w:r>
              <w:t xml:space="preserve">维度</w:t>
            </w:r>
          </w:p>
        </w:tc>
        <w:tc>
          <w:p w14:paraId="00100230" w14:textId="00100231">
            <w:r>
              <w:t xml:space="preserve">分布</w:t>
            </w:r>
          </w:p>
        </w:tc>
      </w:tr>
      <w:tr>
        <w:trPr/>
        <w:tc>
          <w:p w14:paraId="00100232" w14:textId="00100233">
            <w:r>
              <w:t xml:space="preserve">记录总数</w:t>
            </w:r>
          </w:p>
        </w:tc>
        <w:tc>
          <w:p w14:paraId="00100234" w14:textId="00100235">
            <w:r>
              <w:t xml:space="preserve">43 条，全部为原研 2 mg</w:t>
            </w:r>
          </w:p>
        </w:tc>
      </w:tr>
      <w:tr>
        <w:trPr/>
        <w:tc>
          <w:p w14:paraId="00100236" w14:textId="00100237">
            <w:r>
              <w:t xml:space="preserve">覆盖省份</w:t>
            </w:r>
          </w:p>
        </w:tc>
        <w:tc>
          <w:p w14:paraId="00100238" w14:textId="00100239">
            <w:r>
              <w:t xml:space="preserve">17 省：福建 8、广东 4、江苏 4、吉林 3、宁夏 3、辽宁 3、黑龙江 3、山西 2、河北 2、湖北 2、陕西 2、海南 2、青海 1、广西 1、河南 1、贵州 1、四川 1</w:t>
            </w:r>
          </w:p>
        </w:tc>
      </w:tr>
      <w:tr>
        <w:trPr/>
        <w:tc>
          <w:p w14:paraId="0010023A" w14:textId="0010023B">
            <w:r>
              <w:t xml:space="preserve">执行状态</w:t>
            </w:r>
          </w:p>
        </w:tc>
        <w:tc>
          <w:p w14:paraId="0010023C" w14:textId="0010023D">
            <w:r>
              <w:t xml:space="preserve">执行 35、拟中标 4、未执行 2、拟挂网 1、未中选 1</w:t>
            </w:r>
          </w:p>
        </w:tc>
      </w:tr>
      <w:tr>
        <w:trPr/>
        <w:tc>
          <w:p w14:paraId="0010023E" w14:textId="0010023F">
            <w:r>
              <w:t xml:space="preserve">中标类别</w:t>
            </w:r>
          </w:p>
        </w:tc>
        <w:tc>
          <w:p w14:paraId="00100240" w14:textId="00100241">
            <w:r>
              <w:t xml:space="preserve">新增挂网 27、省标 14、价格调整 1、限价挂网 1</w:t>
            </w:r>
          </w:p>
        </w:tc>
      </w:tr>
      <w:tr>
        <w:trPr/>
        <w:tc>
          <w:p w14:paraId="00100242" w14:textId="00100243">
            <w:r>
              <w:t xml:space="preserve">年份分布</w:t>
            </w:r>
          </w:p>
        </w:tc>
        <w:tc>
          <w:p w14:paraId="00100244" w14:textId="00100245">
            <w:r>
              <w:t xml:space="preserve">2024 年 4 条、2025 年 37 条、2026 年 2 条</w:t>
            </w:r>
          </w:p>
        </w:tc>
      </w:tr>
      <w:tr>
        <w:trPr/>
        <w:tc>
          <w:p w14:paraId="00100246" w14:textId="00100247">
            <w:r>
              <w:t xml:space="preserve">公示价格</w:t>
            </w:r>
          </w:p>
        </w:tc>
        <w:tc>
          <w:p w14:paraId="00100248" w14:textId="00100249">
            <w:r>
              <w:t xml:space="preserve">2 mg×28 片/盒 559.00 元，最小制剂单位价 19.96 元/片（22 条记作 559.00、5 条记作 559，28 条片价记作 19.96）</w:t>
            </w:r>
          </w:p>
        </w:tc>
      </w:tr>
    </w:tbl>
    <w:p w14:paraId="0010024A" w14:textId="00100486">
      <w:pPr>
        <w:keepNext/>
        <w:spacing w:before="160" w:after="80"/>
      </w:pPr>
      <w:r>
        <w:rPr>
          <w:b/>
          <w:color w:val="44546A"/>
          <w:sz w:val="20"/>
        </w:rPr>
        <w:t xml:space="preserve">图 9-1　各省挂网记录条数（来源：zhaobiao）</w:t>
      </w:r>
    </w:p>
    <w:p w14:paraId="0010024C" w14:textId="0010024D">
      <w:r>
        <w:drawing>
          <wp:inline distT="0" distB="0" distL="0" distR="0">
            <wp:extent cx="5669280" cy="3291840"/>
            <wp:effectExtent l="0" t="0" r="0" b="0"/>
            <wp:docPr id="3" name="各省挂网记录条数"/>
            <wp:cNvGraphicFramePr/>
            <a:graphic>
              <a:graphicData uri="http://schemas.openxmlformats.org/drawingml/2006/chart">
                <c:chart xmlns:c="http://schemas.openxmlformats.org/drawingml/2006/chart" r:id="Rdd16e0a438cb4b28"/>
              </a:graphicData>
            </a:graphic>
          </wp:inline>
        </w:drawing>
      </w:r>
    </w:p>
    <w:p w14:paraId="0010024E" w14:textId="0010024F">
      <w:pPr>
        <w:spacing w:before="200" w:after="160" w:line="336" w:lineRule="auto"/>
        <w:ind w:firstLine="240"/>
      </w:pPr>
      <w:r>
        <w:rPr>
          <w:sz w:val="22"/>
        </w:rPr>
        <w:t xml:space="preserve">数据读取需注意三处口径问题，本报告按原始记录照录而不作推断：一是吉林 2026 年两条记录的价格字段记作「国谈药品」而非数字，山西与辽宁的 14 片包装记录记作「*」，宁夏与福建部分记录记作「未公示」；二是福建 8 条记录的执行日期统一为 2025-01-01，属平台按年占位，不应解读为 1 月 1 日当天事件；三是海南与广东最早执行日期记作 2024-11-17，早于国内进口上市日 2024-12-06，此处按平台原始日期照录，不解释为提前上市。</w:t>
      </w:r>
    </w:p>
    <w:p w14:paraId="00100250" w14:textId="00100467">
      <w:pPr>
        <w:pStyle w:val="Heading2"/>
        <w:spacing w:before="240" w:after="120"/>
      </w:pPr>
      <w:r>
        <w:rPr>
          <w:rFonts w:eastAsia="黑体"/>
          <w:b/>
          <w:color w:val="2E5496"/>
          <w:sz w:val="28"/>
        </w:rPr>
        <w:t xml:space="preserve">9.3 对立项的含义</w:t>
      </w:r>
    </w:p>
    <w:p w14:paraId="00100252" w14:textId="00100253">
      <w:pPr>
        <w:spacing w:after="160" w:line="336" w:lineRule="auto"/>
        <w:ind w:firstLine="240"/>
      </w:pPr>
      <w:r>
        <w:rPr>
          <w:sz w:val="22"/>
        </w:rPr>
        <w:t xml:space="preserve">挂网数据带来两个相反方向的结论。正面看，国家谈判价格已经落到省级采购平台并进入执行状态，覆盖 17 省，说明准入通道已经打通、终端可及性正在建立，未来仿制药上市时无需从零教育市场，市场准入维度因此由 58 分上调至 63 分，P3 相应升至 47 分。负面看，19.96 元的片价就是仿制药 2030 年上市时所要面对的价格天花板，而 2027 年 12 月协议到期后的续约谈判还可能进一步下压该价格。</w:t>
      </w:r>
    </w:p>
    <w:p w14:paraId="00100254" w14:textId="00100255">
      <w:pPr>
        <w:spacing w:after="160" w:line="336" w:lineRule="auto"/>
        <w:ind w:firstLine="240"/>
      </w:pPr>
      <w:r>
        <w:rPr>
          <w:sz w:val="22"/>
        </w:rPr>
        <w:t xml:space="preserve">还需明确：挂网不等于医院销量。挂网仅代表具备采购资格与公示价格，实际放量需以医院销售数据验证，而该数据目前尚不可得（见第十章）。</w:t>
      </w:r>
    </w:p>
    <w:p w14:paraId="00100256" w14:textId="0010044F">
      <w:pPr>
        <w:pStyle w:val="Heading1"/>
        <w:pageBreakBefore/>
        <w:spacing w:after="240"/>
      </w:pPr>
      <w:r>
        <w:rPr>
          <w:rFonts w:eastAsia="黑体"/>
          <w:b/>
          <w:color w:val="1F3864"/>
          <w:sz w:val="36"/>
        </w:rPr>
        <w:t xml:space="preserve">十、销售表现与全球对照</w:t>
      </w:r>
    </w:p>
    <w:p w14:paraId="00100258" w14:textId="00100468">
      <w:pPr>
        <w:pStyle w:val="Heading2"/>
        <w:spacing w:before="240" w:after="120"/>
      </w:pPr>
      <w:r>
        <w:rPr>
          <w:rFonts w:eastAsia="黑体"/>
          <w:b/>
          <w:color w:val="2E5496"/>
          <w:sz w:val="28"/>
        </w:rPr>
        <w:t xml:space="preserve">10.1 中国销售：样本期不足</w:t>
      </w:r>
    </w:p>
    <w:p w14:paraId="0010025A" w14:textId="0010025B">
      <w:pPr>
        <w:spacing w:after="160" w:line="336" w:lineRule="auto"/>
        <w:ind w:firstLine="240"/>
      </w:pPr>
      <w:r>
        <w:rPr>
          <w:sz w:val="22"/>
        </w:rPr>
        <w:t xml:space="preserve">sales_cn（国内医院药品销售）库检索该品种返回 0 条。原研 2024 年 12 月才进口上市，样本期明显不足，因此该结果只能判定为「不可得」，不能反向解读为「市场无需求」。本报告不对中国销售规模作任何估算，相关判断全部改由日本终端数据与国内准入进度间接支撑。</w:t>
      </w:r>
    </w:p>
    <w:p w14:paraId="0010025C" w14:textId="00100469">
      <w:pPr>
        <w:pStyle w:val="Heading2"/>
        <w:spacing w:before="240" w:after="120"/>
      </w:pPr>
      <w:r>
        <w:rPr>
          <w:rFonts w:eastAsia="黑体"/>
          <w:b/>
          <w:color w:val="2E5496"/>
          <w:sz w:val="28"/>
        </w:rPr>
        <w:t xml:space="preserve">10.2 日本终端销售</w:t>
      </w:r>
    </w:p>
    <w:p w14:paraId="0010025E" w14:textId="0010025F">
      <w:pPr>
        <w:spacing w:after="160" w:line="336" w:lineRule="auto"/>
        <w:ind w:firstLine="240"/>
      </w:pPr>
      <w:r>
        <w:rPr>
          <w:sz w:val="22"/>
        </w:rPr>
        <w:t xml:space="preserve">drugsales 库（全终端销售，需 VIP 权限）收录原研在日本的完整销售明细，2023 与 2024 两个年度各 10 条记录，覆盖医院端与零售端、1 mg / 2 mg / 500Y 三种规格标识。按美元金额汇总如下。</w:t>
      </w:r>
    </w:p>
    <w:p w14:paraId="00100260" w14:textId="00100487">
      <w:pPr>
        <w:keepNext/>
        <w:spacing w:after="80"/>
      </w:pPr>
      <w:r>
        <w:rPr>
          <w:b/>
          <w:color w:val="44546A"/>
          <w:sz w:val="20"/>
        </w:rPr>
        <w:t xml:space="preserve">表 10-1　日本全终端销售汇总（单位：万美元；来源：drugsales）</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2267"/>
        <w:gridCol w:w="2267"/>
        <w:gridCol w:w="2267"/>
        <w:gridCol w:w="2267"/>
      </w:tblGrid>
      <w:tr>
        <w:trPr>
          <w:tblHeader/>
        </w:trPr>
        <w:tc>
          <w:p w14:paraId="00100262" w14:textId="00100263">
            <w:r>
              <w:t xml:space="preserve">维度</w:t>
            </w:r>
          </w:p>
        </w:tc>
        <w:tc>
          <w:p w14:paraId="00100264" w14:textId="00100265">
            <w:r>
              <w:t xml:space="preserve">2023 年</w:t>
            </w:r>
          </w:p>
        </w:tc>
        <w:tc>
          <w:p w14:paraId="00100266" w14:textId="00100267">
            <w:r>
              <w:t xml:space="preserve">2024 年</w:t>
            </w:r>
          </w:p>
        </w:tc>
        <w:tc>
          <w:p w14:paraId="00100268" w14:textId="00100269">
            <w:r>
              <w:t xml:space="preserve">同比</w:t>
            </w:r>
          </w:p>
        </w:tc>
      </w:tr>
      <w:tr>
        <w:trPr/>
        <w:tc>
          <w:p w14:paraId="0010026A" w14:textId="0010026B">
            <w:r>
              <w:t xml:space="preserve">合计</w:t>
            </w:r>
          </w:p>
        </w:tc>
        <w:tc>
          <w:p w14:paraId="0010026C" w14:textId="0010026D">
            <w:r>
              <w:t xml:space="preserve">2177</w:t>
            </w:r>
          </w:p>
        </w:tc>
        <w:tc>
          <w:p w14:paraId="0010026E" w14:textId="0010026F">
            <w:r>
              <w:t xml:space="preserve">2783</w:t>
            </w:r>
          </w:p>
        </w:tc>
        <w:tc>
          <w:p w14:paraId="00100270" w14:textId="00100271">
            <w:r>
              <w:t xml:space="preserve">+27.9%</w:t>
            </w:r>
          </w:p>
        </w:tc>
      </w:tr>
      <w:tr>
        <w:trPr/>
        <w:tc>
          <w:p w14:paraId="00100272" w14:textId="00100273">
            <w:r>
              <w:t xml:space="preserve">零售端</w:t>
            </w:r>
          </w:p>
        </w:tc>
        <w:tc>
          <w:p w14:paraId="00100274" w14:textId="00100275">
            <w:r>
              <w:t xml:space="preserve">1907（87.6%）</w:t>
            </w:r>
          </w:p>
        </w:tc>
        <w:tc>
          <w:p w14:paraId="00100276" w14:textId="00100277">
            <w:r>
              <w:t xml:space="preserve">2425（87.1%）</w:t>
            </w:r>
          </w:p>
        </w:tc>
        <w:tc>
          <w:p w14:paraId="00100278" w14:textId="00100279">
            <w:r>
              <w:t xml:space="preserve">+27.2%</w:t>
            </w:r>
          </w:p>
        </w:tc>
      </w:tr>
      <w:tr>
        <w:trPr/>
        <w:tc>
          <w:p w14:paraId="0010027A" w14:textId="0010027B">
            <w:r>
              <w:t xml:space="preserve">医院端</w:t>
            </w:r>
          </w:p>
        </w:tc>
        <w:tc>
          <w:p w14:paraId="0010027C" w14:textId="0010027D">
            <w:r>
              <w:t xml:space="preserve">270（12.4%）</w:t>
            </w:r>
          </w:p>
        </w:tc>
        <w:tc>
          <w:p w14:paraId="0010027E" w14:textId="0010027F">
            <w:r>
              <w:t xml:space="preserve">358（12.9%）</w:t>
            </w:r>
          </w:p>
        </w:tc>
        <w:tc>
          <w:p w14:paraId="00100280" w14:textId="00100281">
            <w:r>
              <w:t xml:space="preserve">+32.6%</w:t>
            </w:r>
          </w:p>
        </w:tc>
      </w:tr>
      <w:tr>
        <w:trPr/>
        <w:tc>
          <w:p w14:paraId="00100282" w14:textId="00100283">
            <w:r>
              <w:t xml:space="preserve">1 mg 规格</w:t>
            </w:r>
          </w:p>
        </w:tc>
        <w:tc>
          <w:p w14:paraId="00100284" w14:textId="00100285">
            <w:r>
              <w:t xml:space="preserve">1115（51.2%）</w:t>
            </w:r>
          </w:p>
        </w:tc>
        <w:tc>
          <w:p w14:paraId="00100286" w14:textId="00100287">
            <w:r>
              <w:t xml:space="preserve">1408（50.6%）</w:t>
            </w:r>
          </w:p>
        </w:tc>
        <w:tc>
          <w:p w14:paraId="00100288" w14:textId="00100289">
            <w:r>
              <w:t xml:space="preserve">+26.3%</w:t>
            </w:r>
          </w:p>
        </w:tc>
      </w:tr>
      <w:tr>
        <w:trPr/>
        <w:tc>
          <w:p w14:paraId="0010028A" w14:textId="0010028B">
            <w:r>
              <w:t xml:space="preserve">2 mg 规格</w:t>
            </w:r>
          </w:p>
        </w:tc>
        <w:tc>
          <w:p w14:paraId="0010028C" w14:textId="0010028D">
            <w:r>
              <w:t xml:space="preserve">530（24.3%）</w:t>
            </w:r>
          </w:p>
        </w:tc>
        <w:tc>
          <w:p w14:paraId="0010028E" w14:textId="0010028F">
            <w:r>
              <w:t xml:space="preserve">724（26.0%）</w:t>
            </w:r>
          </w:p>
        </w:tc>
        <w:tc>
          <w:p w14:paraId="00100290" w14:textId="00100291">
            <w:r>
              <w:t xml:space="preserve">+36.7%</w:t>
            </w:r>
          </w:p>
        </w:tc>
      </w:tr>
      <w:tr>
        <w:trPr/>
        <w:tc>
          <w:p w14:paraId="00100292" w14:textId="00100293">
            <w:r>
              <w:t xml:space="preserve">500Y 规格标识</w:t>
            </w:r>
          </w:p>
        </w:tc>
        <w:tc>
          <w:p w14:paraId="00100294" w14:textId="00100295">
            <w:r>
              <w:t xml:space="preserve">532（24.4%）</w:t>
            </w:r>
          </w:p>
        </w:tc>
        <w:tc>
          <w:p w14:paraId="00100296" w14:textId="00100297">
            <w:r>
              <w:t xml:space="preserve">651（23.4%）</w:t>
            </w:r>
          </w:p>
        </w:tc>
        <w:tc>
          <w:p w14:paraId="00100298" w14:textId="00100299">
            <w:r>
              <w:t xml:space="preserve">+22.3%</w:t>
            </w:r>
          </w:p>
        </w:tc>
      </w:tr>
    </w:tbl>
    <w:p w14:paraId="0010029A" w14:textId="00100488">
      <w:pPr>
        <w:keepNext/>
        <w:spacing w:before="160" w:after="80"/>
      </w:pPr>
      <w:r>
        <w:rPr>
          <w:b/>
          <w:color w:val="44546A"/>
          <w:sz w:val="20"/>
        </w:rPr>
        <w:t xml:space="preserve">图 10-1　日本全终端销售（万美元，来源：drugsales）</w:t>
      </w:r>
    </w:p>
    <w:p w14:paraId="00100442" w14:textId="00100443">
      <w:r>
        <w:drawing>
          <wp:inline distT="0" distB="0" distL="0" distR="0">
            <wp:extent cx="5120640" cy="2560320"/>
            <wp:effectExtent l="0" t="0" r="0" b="0"/>
            <wp:docPr id="7" name="日本全终端销售（万美元）"/>
            <wp:cNvGraphicFramePr/>
            <a:graphic>
              <a:graphicData uri="http://schemas.openxmlformats.org/drawingml/2006/chart">
                <c:chart r:id="R18fa9d9389ee48a6"/>
              </a:graphicData>
            </a:graphic>
          </wp:inline>
        </w:drawing>
      </w:r>
    </w:p>
    <w:p w14:paraId="0010029C" w14:textId="0010029D">
      <w:r>
        <w:drawing>
          <wp:inline distT="0" distB="0" distL="0" distR="0">
            <wp:extent cx="5120640" cy="2560320"/>
            <wp:effectExtent l="0" t="0" r="0" b="0"/>
            <wp:docPr id="4" name="日本全终端销售（万美元）"/>
            <wp:cNvGraphicFramePr/>
            <a:graphic>
              <a:graphicData uri="http://schemas.openxmlformats.org/drawingml/2006/chart">
                <c:chart r:id="R3ab540c8a4d04cdb"/>
              </a:graphicData>
            </a:graphic>
          </wp:inline>
        </w:drawing>
      </w:r>
    </w:p>
    <w:p w14:paraId="0010029E" w14:textId="0010029F">
      <w:pPr>
        <w:spacing w:before="200" w:after="160" w:line="336" w:lineRule="auto"/>
        <w:ind w:firstLine="240"/>
      </w:pPr>
      <w:r>
        <w:rPr>
          <w:sz w:val="22"/>
        </w:rPr>
        <w:t xml:space="preserve">三点解读：第一，品种在日本自 2020 年上市后仍处于放量期，2024 年增速接近 28%，尚未见顶，说明 URAT1 机制在成熟市场具备真实临床需求；第二，销售结构以零售端为主（约 87%），提示该品种属长期门诊用药，与痛风需要长期维持治疗的特征吻合；第三，1 mg 规格贡献约一半金额，这与国内参比制剂同时公示 1 mg 与 2 mg 的情况一致，仿制立项若只做 2 mg 可能错失主力规格。</w:t>
      </w:r>
    </w:p>
    <w:p w14:paraId="001002A0" w14:textId="001002A1">
      <w:pPr>
        <w:spacing w:after="160" w:line="336" w:lineRule="auto"/>
        <w:ind w:firstLine="240"/>
      </w:pPr>
      <w:r>
        <w:rPr>
          <w:sz w:val="22"/>
        </w:rPr>
        <w:t xml:space="preserve">需要说明，500Y 为销售库中的规格标识字段原值，其与 0.5 mg 规格的对应关系未在库内明确说明，本报告按原值列示。此外 2025 年度数据尚未取得，sales_global（年报销售额）库未检索。</w:t>
      </w:r>
    </w:p>
    <w:p w14:paraId="001002A2" w14:textId="0010046A">
      <w:pPr>
        <w:pStyle w:val="Heading2"/>
        <w:spacing w:before="240" w:after="120"/>
      </w:pPr>
      <w:r>
        <w:rPr>
          <w:rFonts w:eastAsia="黑体"/>
          <w:b/>
          <w:color w:val="2E5496"/>
          <w:sz w:val="28"/>
        </w:rPr>
        <w:t xml:space="preserve">10.3 全球上市与仿制格局</w:t>
      </w:r>
    </w:p>
    <w:p w14:paraId="001002A4" w14:textId="00100489">
      <w:pPr>
        <w:keepNext/>
        <w:spacing w:after="80"/>
      </w:pPr>
      <w:r>
        <w:rPr>
          <w:b/>
          <w:color w:val="44546A"/>
          <w:sz w:val="20"/>
        </w:rPr>
        <w:t xml:space="preserve">表 10-2　全球上市对照（来源：product_jp、product_cn、product_us、product_eu、drugsales）</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4535"/>
        <w:gridCol w:w="4535"/>
      </w:tblGrid>
      <w:tr>
        <w:trPr>
          <w:tblHeader/>
        </w:trPr>
        <w:tc>
          <w:p w14:paraId="001002A6" w14:textId="001002A7">
            <w:r>
              <w:t xml:space="preserve">地区</w:t>
            </w:r>
          </w:p>
        </w:tc>
        <w:tc>
          <w:p w14:paraId="001002A8" w14:textId="001002A9">
            <w:r>
              <w:t xml:space="preserve">状态</w:t>
            </w:r>
          </w:p>
        </w:tc>
      </w:tr>
      <w:tr>
        <w:trPr/>
        <w:tc>
          <w:p w14:paraId="001002AA" w14:textId="001002AB">
            <w:r>
              <w:t xml:space="preserve">日本</w:t>
            </w:r>
          </w:p>
        </w:tc>
        <w:tc>
          <w:p w14:paraId="001002AC" w14:textId="001002AD">
            <w:r>
              <w:t xml:space="preserve">2020-05-01 上市，商品名 ユリス / URECE，规格 0.5 / 1 / 2 mg，富士药品，定位选择性 URAT1 抑制剂用于高尿酸血症</w:t>
            </w:r>
          </w:p>
        </w:tc>
      </w:tr>
      <w:tr>
        <w:trPr/>
        <w:tc>
          <w:p w14:paraId="001002AE" w14:textId="001002AF">
            <w:r>
              <w:t xml:space="preserve">中国</w:t>
            </w:r>
          </w:p>
        </w:tc>
        <w:tc>
          <w:p w14:paraId="001002B0" w14:textId="001002B1">
            <w:r>
              <w:t xml:space="preserve">2024-12-06 进口上市 1 mg 与 2 mg；2025 年纳入国家医保谈判目录乙类</w:t>
            </w:r>
          </w:p>
        </w:tc>
      </w:tr>
      <w:tr>
        <w:trPr/>
        <w:tc>
          <w:p w14:paraId="001002B2" w14:textId="001002B3">
            <w:r>
              <w:t xml:space="preserve">美国</w:t>
            </w:r>
          </w:p>
        </w:tc>
        <w:tc>
          <w:p w14:paraId="001002B4" w14:textId="001002B5">
            <w:r>
              <w:t xml:space="preserve">无 NDA / ANDA 上市记录；Crystalys Therapeutics 正在开展以别嘌醇为对照的 II / III 期研究</w:t>
            </w:r>
          </w:p>
        </w:tc>
      </w:tr>
      <w:tr>
        <w:trPr/>
        <w:tc>
          <w:p w14:paraId="001002B6" w14:textId="001002B7">
            <w:r>
              <w:t xml:space="preserve">欧盟</w:t>
            </w:r>
          </w:p>
        </w:tc>
        <w:tc>
          <w:p w14:paraId="001002B8" w14:textId="001002B9">
            <w:r>
              <w:t xml:space="preserve">EMA 库无收录记录</w:t>
            </w:r>
          </w:p>
        </w:tc>
      </w:tr>
      <w:tr>
        <w:trPr/>
        <w:tc>
          <w:p w14:paraId="001002BA" w14:textId="001002BB">
            <w:r>
              <w:t xml:space="preserve">孟加拉</w:t>
            </w:r>
          </w:p>
        </w:tc>
        <w:tc>
          <w:p w14:paraId="001002BC" w14:textId="001002BD">
            <w:r>
              <w:t xml:space="preserve">已有仿制药终端销售（DOTIN、DOTFIX、DOTINOR），销售金额很小</w:t>
            </w:r>
          </w:p>
        </w:tc>
      </w:tr>
    </w:tbl>
    <w:p w14:paraId="001002BE" w14:textId="001002BF">
      <w:pPr>
        <w:spacing w:before="200" w:after="160" w:line="336" w:lineRule="auto"/>
        <w:ind w:firstLine="240"/>
      </w:pPr>
      <w:r>
        <w:rPr>
          <w:sz w:val="22"/>
        </w:rPr>
        <w:t xml:space="preserve">全球格局对国内立项的含义：该品种目前仍是「日本为主、中国次之」的区域性品种，欧美尚未上市，意味着短期内不存在原料药出口至规范市场的规模化机会，fda_dmf 检索为 0 条也印证了这一点。国内立项的价值只能基于中国市场本身，不能叠加出口预期。</w:t>
      </w:r>
    </w:p>
    <w:p w14:paraId="001002C0" w14:textId="00100450">
      <w:pPr>
        <w:pStyle w:val="Heading1"/>
        <w:pageBreakBefore/>
        <w:spacing w:after="240"/>
      </w:pPr>
      <w:r>
        <w:rPr>
          <w:rFonts w:eastAsia="黑体"/>
          <w:b/>
          <w:color w:val="1F3864"/>
          <w:sz w:val="36"/>
        </w:rPr>
        <w:t xml:space="preserve">十一、关键时间线</w:t>
      </w:r>
    </w:p>
    <w:p w14:paraId="001002C2" w14:textId="0010048A">
      <w:pPr>
        <w:keepNext/>
        <w:spacing w:after="80"/>
      </w:pPr>
      <w:r>
        <w:rPr>
          <w:b/>
          <w:color w:val="44546A"/>
          <w:sz w:val="20"/>
        </w:rPr>
        <w:t xml:space="preserve">表 11-1　品种关键节点（来源：多库汇总）</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3023"/>
        <w:gridCol w:w="3023"/>
        <w:gridCol w:w="3023"/>
      </w:tblGrid>
      <w:tr>
        <w:trPr>
          <w:tblHeader/>
        </w:trPr>
        <w:tc>
          <w:p w14:paraId="001002C4" w14:textId="001002C5">
            <w:r>
              <w:t xml:space="preserve">时间</w:t>
            </w:r>
          </w:p>
        </w:tc>
        <w:tc>
          <w:p w14:paraId="001002C6" w14:textId="001002C7">
            <w:r>
              <w:t xml:space="preserve">事件</w:t>
            </w:r>
          </w:p>
        </w:tc>
        <w:tc>
          <w:p w14:paraId="001002C8" w14:textId="001002C9">
            <w:r>
              <w:t xml:space="preserve">对立项的意义</w:t>
            </w:r>
          </w:p>
        </w:tc>
      </w:tr>
      <w:tr>
        <w:trPr/>
        <w:tc>
          <w:p w14:paraId="001002CA" w14:textId="001002CB">
            <w:r>
              <w:t xml:space="preserve">2015-03-25</w:t>
            </w:r>
          </w:p>
        </w:tc>
        <w:tc>
          <w:p w14:paraId="001002CC" w14:textId="001002CD">
            <w:r>
              <w:t xml:space="preserve">化合物专利 ZL201080042866.9 获授权</w:t>
            </w:r>
          </w:p>
        </w:tc>
        <w:tc>
          <w:p w14:paraId="001002CE" w14:textId="001002CF">
            <w:r>
              <w:t xml:space="preserve">确立独占基础</w:t>
            </w:r>
          </w:p>
        </w:tc>
      </w:tr>
      <w:tr>
        <w:trPr/>
        <w:tc>
          <w:p w14:paraId="001002D0" w14:textId="001002D1">
            <w:r>
              <w:t xml:space="preserve">2020-05-01</w:t>
            </w:r>
          </w:p>
        </w:tc>
        <w:tc>
          <w:p w14:paraId="001002D2" w14:textId="001002D3">
            <w:r>
              <w:t xml:space="preserve">日本上市（ユリス）</w:t>
            </w:r>
          </w:p>
        </w:tc>
        <w:tc>
          <w:p w14:paraId="001002D4" w14:textId="001002D5">
            <w:r>
              <w:t xml:space="preserve">境外销售与安全性积累起点</w:t>
            </w:r>
          </w:p>
        </w:tc>
      </w:tr>
      <w:tr>
        <w:trPr/>
        <w:tc>
          <w:p w14:paraId="001002D6" w14:textId="001002D7">
            <w:r>
              <w:t xml:space="preserve">2021-03-20 / 05-25</w:t>
            </w:r>
          </w:p>
        </w:tc>
        <w:tc>
          <w:p w14:paraId="001002D8" w14:textId="001002D9">
            <w:r>
              <w:t xml:space="preserve">卫材（中国）与富士药品提交临床申请并获批</w:t>
            </w:r>
          </w:p>
        </w:tc>
        <w:tc>
          <w:p w14:paraId="001002DA" w14:textId="001002DB">
            <w:r>
              <w:t xml:space="preserve">中国注册通道启动</w:t>
            </w:r>
          </w:p>
        </w:tc>
      </w:tr>
      <w:tr>
        <w:trPr/>
        <w:tc>
          <w:p w14:paraId="001002DC" w14:textId="001002DD">
            <w:r>
              <w:t xml:space="preserve">2024-06-17</w:t>
            </w:r>
          </w:p>
        </w:tc>
        <w:tc>
          <w:p w14:paraId="001002DE" w14:textId="001002DF">
            <w:r>
              <w:t xml:space="preserve">第 81 批参比制剂公示（日本未进口，0.5 / 1 / 2 mg）</w:t>
            </w:r>
          </w:p>
        </w:tc>
        <w:tc>
          <w:p w14:paraId="001002E0" w14:textId="001002E1">
            <w:r>
              <w:t xml:space="preserve">首次出现参比依据</w:t>
            </w:r>
          </w:p>
        </w:tc>
      </w:tr>
      <w:tr>
        <w:trPr/>
        <w:tc>
          <w:p w14:paraId="001002E2" w14:textId="001002E3">
            <w:r>
              <w:t xml:space="preserve">2024-12-06</w:t>
            </w:r>
          </w:p>
        </w:tc>
        <w:tc>
          <w:p w14:paraId="001002E4" w14:textId="001002E5">
            <w:r>
              <w:t xml:space="preserve">中国进口上市（HJ20240163、HJ20240164）</w:t>
            </w:r>
          </w:p>
        </w:tc>
        <w:tc>
          <w:p w14:paraId="001002E6" w14:textId="001002E7">
            <w:r>
              <w:t xml:space="preserve">国内参比与仿制窗口开启</w:t>
            </w:r>
          </w:p>
        </w:tc>
      </w:tr>
      <w:tr>
        <w:trPr/>
        <w:tc>
          <w:p w14:paraId="001002E8" w14:textId="001002E9">
            <w:r>
              <w:t xml:space="preserve">2024-12-25</w:t>
            </w:r>
          </w:p>
        </w:tc>
        <w:tc>
          <w:p w14:paraId="001002EA" w14:textId="001002EB">
            <w:r>
              <w:t xml:space="preserve">专利登记公示（化合物 + 晶型）</w:t>
            </w:r>
          </w:p>
        </w:tc>
        <w:tc>
          <w:p w14:paraId="001002EC" w14:textId="001002ED">
            <w:r>
              <w:t xml:space="preserve">专利链接义务确立</w:t>
            </w:r>
          </w:p>
        </w:tc>
      </w:tr>
      <w:tr>
        <w:trPr/>
        <w:tc>
          <w:p w14:paraId="001002EE" w14:textId="001002EF">
            <w:r>
              <w:t xml:space="preserve">2025-07-08</w:t>
            </w:r>
          </w:p>
        </w:tc>
        <w:tc>
          <w:p w14:paraId="001002F0" w14:textId="001002F1">
            <w:r>
              <w:t xml:space="preserve">第 93 批参比制剂公示（国内上市原研进口，1 / 2 mg）</w:t>
            </w:r>
          </w:p>
        </w:tc>
        <w:tc>
          <w:p w14:paraId="001002F2" w14:textId="001002F3">
            <w:r>
              <w:t xml:space="preserve">4 类申报锚点确定</w:t>
            </w:r>
          </w:p>
        </w:tc>
      </w:tr>
      <w:tr>
        <w:trPr/>
        <w:tc>
          <w:p w14:paraId="001002F4" w14:textId="001002F5">
            <w:r>
              <w:t xml:space="preserve">2025-08-25</w:t>
            </w:r>
          </w:p>
        </w:tc>
        <w:tc>
          <w:p w14:paraId="001002F6" w14:textId="001002F7">
            <w:r>
              <w:t xml:space="preserve">天地恒一 CYHS2503112 受理，带潜在首仿标记</w:t>
            </w:r>
          </w:p>
        </w:tc>
        <w:tc>
          <w:p w14:paraId="001002F8" w14:textId="001002F9">
            <w:r>
              <w:t xml:space="preserve">首仿位次被占</w:t>
            </w:r>
          </w:p>
        </w:tc>
      </w:tr>
      <w:tr>
        <w:trPr/>
        <w:tc>
          <w:p w14:paraId="001002FA" w14:textId="001002FB">
            <w:r>
              <w:t xml:space="preserve">2025-08 至 2026-03</w:t>
            </w:r>
          </w:p>
        </w:tc>
        <w:tc>
          <w:p w14:paraId="001002FC" w14:textId="001002FD">
            <w:r>
              <w:t xml:space="preserve">省级挂网集中落地，公示价 559 元 / 28 片</w:t>
            </w:r>
          </w:p>
        </w:tc>
        <w:tc>
          <w:p w14:paraId="001002FE" w14:textId="001002FF">
            <w:r>
              <w:t xml:space="preserve">准入通道打通，价格天花板确立</w:t>
            </w:r>
          </w:p>
        </w:tc>
      </w:tr>
      <w:tr>
        <w:trPr/>
        <w:tc>
          <w:p w14:paraId="00100300" w14:textId="00100301">
            <w:r>
              <w:t xml:space="preserve">2026-01-01 至 2027-12-31</w:t>
            </w:r>
          </w:p>
        </w:tc>
        <w:tc>
          <w:p w14:paraId="00100302" w14:textId="00100303">
            <w:r>
              <w:t xml:space="preserve">国家医保谈判协议执行期（乙类）</w:t>
            </w:r>
          </w:p>
        </w:tc>
        <w:tc>
          <w:p w14:paraId="00100304" w14:textId="00100305">
            <w:r>
              <w:t xml:space="preserve">终端可及性提升；2027 年末面临续约降价</w:t>
            </w:r>
          </w:p>
        </w:tc>
      </w:tr>
      <w:tr>
        <w:trPr/>
        <w:tc>
          <w:p w14:paraId="00100306" w14:textId="00100307">
            <w:r>
              <w:t xml:space="preserve">2030-09-28</w:t>
            </w:r>
          </w:p>
        </w:tc>
        <w:tc>
          <w:p w14:paraId="00100308" w14:textId="00100309">
            <w:r>
              <w:t xml:space="preserve">化合物专利 ZL201080042866.9 到期</w:t>
            </w:r>
          </w:p>
        </w:tc>
        <w:tc>
          <w:p w14:paraId="0010030A" w14:textId="0010030B">
            <w:r>
              <w:t xml:space="preserve">3 类声明企业的合法上市起点，排产核心锚点</w:t>
            </w:r>
          </w:p>
        </w:tc>
      </w:tr>
    </w:tbl>
    <w:p w14:paraId="0010030C" w14:textId="0010030D">
      <w:pPr>
        <w:spacing w:before="200" w:after="160" w:line="336" w:lineRule="auto"/>
        <w:ind w:firstLine="240"/>
      </w:pPr>
      <w:r>
        <w:rPr>
          <w:sz w:val="22"/>
        </w:rPr>
        <w:t xml:space="preserve">从时间线可以看出一个关键错配：注册与技术活动的高峰（2025 至 2026 年）比合法上市窗口（2030 年 9 月之后）提前了约四到五年。这段空窗期是本品种立项决策的实质难点——批文可能在 2027 年前后取得，但要到 2030 年底才具备销售价值。</w:t>
      </w:r>
    </w:p>
    <w:p w14:paraId="0010030E" w14:textId="00100451">
      <w:pPr>
        <w:pStyle w:val="Heading1"/>
        <w:pageBreakBefore/>
        <w:spacing w:after="240"/>
      </w:pPr>
      <w:r>
        <w:rPr>
          <w:rFonts w:eastAsia="黑体"/>
          <w:b/>
          <w:color w:val="1F3864"/>
          <w:sz w:val="36"/>
        </w:rPr>
        <w:t xml:space="preserve">十二、量化打分与情景分析</w:t>
      </w:r>
    </w:p>
    <w:p w14:paraId="00100310" w14:textId="00100311">
      <w:pPr>
        <w:spacing w:after="160" w:line="336" w:lineRule="auto"/>
        <w:ind w:firstLine="240"/>
      </w:pPr>
      <w:r>
        <w:rPr>
          <w:sz w:val="22"/>
        </w:rPr>
        <w:t xml:space="preserve">按第二章框架，对三个情景分别打分：基准情景（选择 3 类声明，专利到期前不上市）、2030 年 9 月后上市情景、4.1 类无效挑战成功情景。</w:t>
      </w:r>
    </w:p>
    <w:p w14:paraId="00100312" w14:textId="0010048B">
      <w:pPr>
        <w:keepNext/>
        <w:spacing w:after="80"/>
      </w:pPr>
      <w:r>
        <w:rPr>
          <w:b/>
          <w:color w:val="44546A"/>
          <w:sz w:val="20"/>
        </w:rPr>
        <w:t xml:space="preserve">表 12-1　维度打分与情景对比</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1814"/>
        <w:gridCol w:w="1814"/>
        <w:gridCol w:w="1814"/>
        <w:gridCol w:w="1814"/>
        <w:gridCol w:w="1814"/>
      </w:tblGrid>
      <w:tr>
        <w:trPr>
          <w:tblHeader/>
        </w:trPr>
        <w:tc>
          <w:p w14:paraId="00100314" w14:textId="00100315">
            <w:r>
              <w:t xml:space="preserve">维度</w:t>
            </w:r>
          </w:p>
        </w:tc>
        <w:tc>
          <w:p w14:paraId="00100316" w14:textId="00100317">
            <w:r>
              <w:t xml:space="preserve">权重 / 算法</w:t>
            </w:r>
          </w:p>
        </w:tc>
        <w:tc>
          <w:p w14:paraId="00100318" w14:textId="00100319">
            <w:r>
              <w:t xml:space="preserve">基准情景</w:t>
            </w:r>
          </w:p>
        </w:tc>
        <w:tc>
          <w:p w14:paraId="0010031A" w14:textId="0010031B">
            <w:r>
              <w:t xml:space="preserve">2030-09 后上市</w:t>
            </w:r>
          </w:p>
        </w:tc>
        <w:tc>
          <w:p w14:paraId="0010031C" w14:textId="0010031D">
            <w:r>
              <w:t xml:space="preserve">4.1 挑战成功</w:t>
            </w:r>
          </w:p>
        </w:tc>
      </w:tr>
      <w:tr>
        <w:trPr/>
        <w:tc>
          <w:p w14:paraId="0010031E" w14:textId="0010031F">
            <w:r>
              <w:t xml:space="preserve">法规与参比</w:t>
            </w:r>
          </w:p>
        </w:tc>
        <w:tc>
          <w:p w14:paraId="00100320" w14:textId="00100321">
            <w:r>
              <w:t xml:space="preserve">15%</w:t>
            </w:r>
          </w:p>
        </w:tc>
        <w:tc>
          <w:p w14:paraId="00100322" w14:textId="00100323">
            <w:r>
              <w:t xml:space="preserve">92</w:t>
            </w:r>
          </w:p>
        </w:tc>
        <w:tc>
          <w:p w14:paraId="00100324" w14:textId="00100325">
            <w:r>
              <w:t xml:space="preserve">92</w:t>
            </w:r>
          </w:p>
        </w:tc>
        <w:tc>
          <w:p w14:paraId="00100326" w14:textId="00100327">
            <w:r>
              <w:t xml:space="preserve">92</w:t>
            </w:r>
          </w:p>
        </w:tc>
      </w:tr>
      <w:tr>
        <w:trPr/>
        <w:tc>
          <w:p w14:paraId="00100328" w14:textId="00100329">
            <w:r>
              <w:t xml:space="preserve">CMC 与 BE</w:t>
            </w:r>
          </w:p>
        </w:tc>
        <w:tc>
          <w:p w14:paraId="0010032A" w14:textId="0010032B">
            <w:r>
              <w:t xml:space="preserve">15%</w:t>
            </w:r>
          </w:p>
        </w:tc>
        <w:tc>
          <w:p w14:paraId="0010032C" w14:textId="0010032D">
            <w:r>
              <w:t xml:space="preserve">82</w:t>
            </w:r>
          </w:p>
        </w:tc>
        <w:tc>
          <w:p w14:paraId="0010032E" w14:textId="0010032F">
            <w:r>
              <w:t xml:space="preserve">82</w:t>
            </w:r>
          </w:p>
        </w:tc>
        <w:tc>
          <w:p w14:paraId="00100330" w14:textId="00100331">
            <w:r>
              <w:t xml:space="preserve">82</w:t>
            </w:r>
          </w:p>
        </w:tc>
      </w:tr>
      <w:tr>
        <w:trPr/>
        <w:tc>
          <w:p w14:paraId="00100332" w14:textId="00100333">
            <w:r>
              <w:t xml:space="preserve">专利</w:t>
            </w:r>
          </w:p>
        </w:tc>
        <w:tc>
          <w:p w14:paraId="00100334" w14:textId="00100335">
            <w:r>
              <w:t xml:space="preserve">30%</w:t>
            </w:r>
          </w:p>
        </w:tc>
        <w:tc>
          <w:p w14:paraId="00100336" w14:textId="00100337">
            <w:r>
              <w:t xml:space="preserve">18</w:t>
            </w:r>
          </w:p>
        </w:tc>
        <w:tc>
          <w:p w14:paraId="00100338" w14:textId="00100339">
            <w:r>
              <w:t xml:space="preserve">76</w:t>
            </w:r>
          </w:p>
        </w:tc>
        <w:tc>
          <w:p w14:paraId="0010033A" w14:textId="0010033B">
            <w:r>
              <w:t xml:space="preserve">50</w:t>
            </w:r>
          </w:p>
        </w:tc>
      </w:tr>
      <w:tr>
        <w:trPr/>
        <w:tc>
          <w:p w14:paraId="0010033C" w14:textId="0010033D">
            <w:r>
              <w:t xml:space="preserve">竞争窗口</w:t>
            </w:r>
          </w:p>
        </w:tc>
        <w:tc>
          <w:p w14:paraId="0010033E" w14:textId="0010033F">
            <w:r>
              <w:t xml:space="preserve">15%</w:t>
            </w:r>
          </w:p>
        </w:tc>
        <w:tc>
          <w:p w14:paraId="00100340" w14:textId="00100341">
            <w:r>
              <w:t xml:space="preserve">32</w:t>
            </w:r>
          </w:p>
        </w:tc>
        <w:tc>
          <w:p w14:paraId="00100342" w14:textId="00100343">
            <w:r>
              <w:t xml:space="preserve">22</w:t>
            </w:r>
          </w:p>
        </w:tc>
        <w:tc>
          <w:p w14:paraId="00100344" w14:textId="00100345">
            <w:r>
              <w:t xml:space="preserve">28</w:t>
            </w:r>
          </w:p>
        </w:tc>
      </w:tr>
      <w:tr>
        <w:trPr/>
        <w:tc>
          <w:p w14:paraId="00100346" w14:textId="00100347">
            <w:r>
              <w:t xml:space="preserve">市场准入</w:t>
            </w:r>
          </w:p>
        </w:tc>
        <w:tc>
          <w:p w14:paraId="00100348" w14:textId="00100349">
            <w:r>
              <w:t xml:space="preserve">20%</w:t>
            </w:r>
          </w:p>
        </w:tc>
        <w:tc>
          <w:p w14:paraId="0010034A" w14:textId="0010034B">
            <w:r>
              <w:t xml:space="preserve">63</w:t>
            </w:r>
          </w:p>
        </w:tc>
        <w:tc>
          <w:p w14:paraId="0010034C" w14:textId="0010034D">
            <w:r>
              <w:t xml:space="preserve">66</w:t>
            </w:r>
          </w:p>
        </w:tc>
        <w:tc>
          <w:p w14:paraId="0010034E" w14:textId="0010034F">
            <w:r>
              <w:t xml:space="preserve">55</w:t>
            </w:r>
          </w:p>
        </w:tc>
      </w:tr>
      <w:tr>
        <w:trPr/>
        <w:tc>
          <w:p w14:paraId="00100350" w14:textId="00100351">
            <w:r>
              <w:t xml:space="preserve">时间匹配</w:t>
            </w:r>
          </w:p>
        </w:tc>
        <w:tc>
          <w:p w14:paraId="00100352" w14:textId="00100353">
            <w:r>
              <w:t xml:space="preserve">5%</w:t>
            </w:r>
          </w:p>
        </w:tc>
        <w:tc>
          <w:p w14:paraId="00100354" w14:textId="00100355">
            <w:r>
              <w:t xml:space="preserve">28</w:t>
            </w:r>
          </w:p>
        </w:tc>
        <w:tc>
          <w:p w14:paraId="00100356" w14:textId="00100357">
            <w:r>
              <w:t xml:space="preserve">72</w:t>
            </w:r>
          </w:p>
        </w:tc>
        <w:tc>
          <w:p w14:paraId="00100358" w14:textId="00100359">
            <w:r>
              <w:t xml:space="preserve">60</w:t>
            </w:r>
          </w:p>
        </w:tc>
      </w:tr>
      <w:tr>
        <w:trPr/>
        <w:tc>
          <w:p w14:paraId="0010035A" w14:textId="0010035B">
            <w:r>
              <w:t xml:space="preserve">P1 可获批</w:t>
            </w:r>
          </w:p>
        </w:tc>
        <w:tc>
          <w:p w14:paraId="0010035C" w14:textId="0010035D">
            <w:r>
              <w:t xml:space="preserve">法规×0.5 + CMC×0.5</w:t>
            </w:r>
          </w:p>
        </w:tc>
        <w:tc>
          <w:p w14:paraId="0010035E" w14:textId="0010035F">
            <w:r>
              <w:t xml:space="preserve">87</w:t>
            </w:r>
          </w:p>
        </w:tc>
        <w:tc>
          <w:p w14:paraId="00100360" w14:textId="00100361">
            <w:r>
              <w:t xml:space="preserve">87</w:t>
            </w:r>
          </w:p>
        </w:tc>
        <w:tc>
          <w:p w14:paraId="00100362" w14:textId="00100363">
            <w:r>
              <w:t xml:space="preserve">87</w:t>
            </w:r>
          </w:p>
        </w:tc>
      </w:tr>
      <w:tr>
        <w:trPr/>
        <w:tc>
          <w:p w14:paraId="00100364" w14:textId="00100365">
            <w:r>
              <w:t xml:space="preserve">P2 可合法上市</w:t>
            </w:r>
          </w:p>
        </w:tc>
        <w:tc>
          <w:p w14:paraId="00100366" w14:textId="00100367">
            <w:r>
              <w:t xml:space="preserve">专利维度</w:t>
            </w:r>
          </w:p>
        </w:tc>
        <w:tc>
          <w:p w14:paraId="00100368" w14:textId="00100369">
            <w:r>
              <w:t xml:space="preserve">18</w:t>
            </w:r>
          </w:p>
        </w:tc>
        <w:tc>
          <w:p w14:paraId="0010036A" w14:textId="0010036B">
            <w:r>
              <w:t xml:space="preserve">76</w:t>
            </w:r>
          </w:p>
        </w:tc>
        <w:tc>
          <w:p w14:paraId="0010036C" w14:textId="0010036D">
            <w:r>
              <w:t xml:space="preserve">50</w:t>
            </w:r>
          </w:p>
        </w:tc>
      </w:tr>
      <w:tr>
        <w:trPr/>
        <w:tc>
          <w:p w14:paraId="0010036E" w14:textId="0010036F">
            <w:r>
              <w:t xml:space="preserve">P3 值得做</w:t>
            </w:r>
          </w:p>
        </w:tc>
        <w:tc>
          <w:p w14:paraId="00100370" w14:textId="00100371">
            <w:r>
              <w:t xml:space="preserve">竞争×0.4 + 市场×0.5 + 时间×0.1</w:t>
            </w:r>
          </w:p>
        </w:tc>
        <w:tc>
          <w:p w14:paraId="00100372" w14:textId="00100373">
            <w:r>
              <w:t xml:space="preserve">47</w:t>
            </w:r>
          </w:p>
        </w:tc>
        <w:tc>
          <w:p w14:paraId="00100374" w14:textId="00100375">
            <w:r>
              <w:t xml:space="preserve">49</w:t>
            </w:r>
          </w:p>
        </w:tc>
        <w:tc>
          <w:p w14:paraId="00100376" w14:textId="00100377">
            <w:r>
              <w:t xml:space="preserve">45</w:t>
            </w:r>
          </w:p>
        </w:tc>
      </w:tr>
      <w:tr>
        <w:trPr/>
        <w:tc>
          <w:p w14:paraId="00100378" w14:textId="00100379">
            <w:r>
              <w:t xml:space="preserve">立项综合</w:t>
            </w:r>
          </w:p>
        </w:tc>
        <w:tc>
          <w:p w14:paraId="0010037A" w14:textId="0010037B">
            <w:r>
              <w:t xml:space="preserve">0.25×P1 + 0.40×P2 + 0.35×P3</w:t>
            </w:r>
          </w:p>
        </w:tc>
        <w:tc>
          <w:p w14:paraId="0010037C" w14:textId="0010037D">
            <w:r>
              <w:t xml:space="preserve">45</w:t>
            </w:r>
          </w:p>
        </w:tc>
        <w:tc>
          <w:p w14:paraId="0010037E" w14:textId="0010037F">
            <w:r>
              <w:t xml:space="preserve">69</w:t>
            </w:r>
          </w:p>
        </w:tc>
        <w:tc>
          <w:p w14:paraId="00100380" w14:textId="00100381">
            <w:r>
              <w:t xml:space="preserve">57</w:t>
            </w:r>
          </w:p>
        </w:tc>
      </w:tr>
      <w:tr>
        <w:trPr/>
        <w:tc>
          <w:p w14:paraId="00100382" w14:textId="00100383">
            <w:r>
              <w:t xml:space="preserve">决策带归属</w:t>
            </w:r>
          </w:p>
        </w:tc>
        <w:tc>
          <w:p w14:paraId="00100384" w14:textId="00100385">
            <w:r>
              <w:t xml:space="preserve">—</w:t>
            </w:r>
          </w:p>
        </w:tc>
        <w:tc>
          <w:p w14:paraId="00100386" w14:textId="00100387">
            <w:r>
              <w:t xml:space="preserve">跟踪 / 卡位下沿，暂缓商业化投入</w:t>
            </w:r>
          </w:p>
        </w:tc>
        <w:tc>
          <w:p w14:paraId="00100388" w14:textId="00100389">
            <w:r>
              <w:t xml:space="preserve">跟踪 / 卡位上沿，按到期日排产</w:t>
            </w:r>
          </w:p>
        </w:tc>
        <w:tc>
          <w:p w14:paraId="0010038A" w14:textId="0010038B">
            <w:r>
              <w:t xml:space="preserve">仅适合具备专利诉讼能力的主体</w:t>
            </w:r>
          </w:p>
        </w:tc>
      </w:tr>
    </w:tbl>
    <w:p w14:paraId="0010038C" w14:textId="0010048C">
      <w:pPr>
        <w:keepNext/>
        <w:spacing w:before="160" w:after="80"/>
      </w:pPr>
      <w:r>
        <w:rPr>
          <w:b/>
          <w:color w:val="44546A"/>
          <w:sz w:val="20"/>
        </w:rPr>
        <w:t xml:space="preserve">图 12-1　三情景打分对比</w:t>
      </w:r>
    </w:p>
    <w:p w14:paraId="00100444" w14:textId="00100445">
      <w:r>
        <w:drawing>
          <wp:inline distT="0" distB="0" distL="0" distR="0">
            <wp:extent cx="5669280" cy="2743200"/>
            <wp:effectExtent l="0" t="0" r="0" b="0"/>
            <wp:docPr id="8" name="三情景三概率与综合分"/>
            <wp:cNvGraphicFramePr/>
            <a:graphic>
              <a:graphicData uri="http://schemas.openxmlformats.org/drawingml/2006/chart">
                <c:chart r:id="R2fe84c34089a4f74"/>
              </a:graphicData>
            </a:graphic>
          </wp:inline>
        </w:drawing>
      </w:r>
    </w:p>
    <w:p w14:paraId="0010038E" w14:textId="0010038F"/>
    <w:p w14:paraId="00100390" w14:textId="00100391">
      <w:pPr>
        <w:spacing w:before="200" w:after="160" w:line="336" w:lineRule="auto"/>
        <w:ind w:firstLine="240"/>
      </w:pPr>
      <w:r>
        <w:rPr>
          <w:sz w:val="22"/>
        </w:rPr>
        <w:t xml:space="preserve">三个情景都没有落入「建议立项并投产」区间（需综合分不低于 70 且 P2 不低于 60）。最接近的是 2030 年 9 月后上市情景，综合 69 分、P2 76 分，属于卡位立项的上沿，其含义是现在投入研发、把商业化节点后置，而不是现在投产。基准情景 45 分刚好压在跟踪带下沿，4.1 挑战成功情景虽然综合分回升至 57 分，但其 P2 仍只有 50 分，且该分值已内含挑战失败的概率折价，不适合作为常规企业的主路线。</w:t>
      </w:r>
    </w:p>
    <w:p w14:paraId="00100392" w14:textId="00100393">
      <w:pPr>
        <w:spacing w:after="160" w:line="336" w:lineRule="auto"/>
        <w:ind w:firstLine="240"/>
      </w:pPr>
      <w:r>
        <w:rPr>
          <w:sz w:val="22"/>
        </w:rPr>
        <w:t xml:space="preserve">敏感性方面，结论对专利维度最为敏感：在权重 30% 下，专利维度每变动 10 分，综合分变动 4 分。若化合物专利被宣告无效且结论稳定，P2 可升至 70 分以上，综合分随即进入立项区间；反之若 2027 年医保续约大幅降价，市场准入维度下调 10 分只会使综合分下降约 1.8 分，不足以改变定性。这意味着跟踪工作的优先级应集中在专利而非价格。</w:t>
      </w:r>
    </w:p>
    <w:p w14:paraId="00100394" w14:textId="00100452">
      <w:pPr>
        <w:pStyle w:val="Heading1"/>
        <w:pageBreakBefore/>
        <w:spacing w:after="240"/>
      </w:pPr>
      <w:r>
        <w:rPr>
          <w:rFonts w:eastAsia="黑体"/>
          <w:b/>
          <w:color w:val="1F3864"/>
          <w:sz w:val="36"/>
        </w:rPr>
        <w:t xml:space="preserve">十三、结论与建议</w:t>
      </w:r>
    </w:p>
    <w:p w14:paraId="00100396" w14:textId="0010046B">
      <w:pPr>
        <w:pStyle w:val="Heading2"/>
        <w:spacing w:before="240" w:after="120"/>
      </w:pPr>
      <w:r>
        <w:rPr>
          <w:rFonts w:eastAsia="黑体"/>
          <w:b/>
          <w:color w:val="2E5496"/>
          <w:sz w:val="28"/>
        </w:rPr>
        <w:t xml:space="preserve">13.1 总体结论</w:t>
      </w:r>
    </w:p>
    <w:p w14:paraId="00100398" w14:textId="00100399">
      <w:pPr>
        <w:spacing w:after="160" w:line="336" w:lineRule="auto"/>
        <w:ind w:firstLine="240"/>
      </w:pPr>
      <w:r>
        <w:rPr>
          <w:sz w:val="22"/>
        </w:rPr>
        <w:t xml:space="preserve">多替诺雷片在技术与法规层面是一个成熟可仿品种，但在专利层面短期不可上市，在商业层面属于中低吸引力。三个概率的分离结论是：能做（P1 87 分）、现在不能卖（P2 18 分）、卖了也不算好生意（P3 47 分）。立项综合 45 分，落在「跟踪 / 卡位」区间。</w:t>
      </w:r>
    </w:p>
    <w:p w14:paraId="0010039A" w14:textId="0010039B">
      <w:pPr>
        <w:spacing w:after="160" w:line="336" w:lineRule="auto"/>
        <w:ind w:firstLine="240"/>
      </w:pPr>
      <w:r>
        <w:rPr>
          <w:b/>
          <w:sz w:val="22"/>
        </w:rPr>
        <w:t xml:space="preserve">因此建议的决策是：立项，但按卡位口径立项；研发投入与商业化投入必须分离，商业化节点锚定 2030 年 9 月 28 日化合物专利到期之后。</w:t>
      </w:r>
    </w:p>
    <w:p w14:paraId="0010039C" w14:textId="0010046C">
      <w:pPr>
        <w:pStyle w:val="Heading2"/>
        <w:spacing w:before="240" w:after="120"/>
      </w:pPr>
      <w:r>
        <w:rPr>
          <w:rFonts w:eastAsia="黑体"/>
          <w:b/>
          <w:color w:val="2E5496"/>
          <w:sz w:val="28"/>
        </w:rPr>
        <w:t xml:space="preserve">13.2 现阶段建议开展的工作</w:t>
      </w:r>
    </w:p>
    <w:p w14:paraId="0010039E" w14:textId="0010039F">
      <w:pPr>
        <w:numPr>
          <w:ilvl w:val="0"/>
          <w:numId w:val="2"/>
        </w:numPr>
        <w:spacing w:after="80" w:line="336" w:lineRule="auto"/>
      </w:pPr>
      <w:r>
        <w:rPr>
          <w:sz w:val="22"/>
        </w:rPr>
        <w:t xml:space="preserve">规格选择上同时推进 1 mg 与 2 mg，溶出曲线对齐第 93 批国内上市原研进口参比；日本销售结构显示 1 mg 贡献约一半金额，不宜只做 2 mg。</w:t>
      </w:r>
    </w:p>
    <w:p w14:paraId="001003A0" w14:textId="001003A1">
      <w:pPr>
        <w:numPr>
          <w:ilvl w:val="0"/>
          <w:numId w:val="2"/>
        </w:numPr>
        <w:spacing w:after="80" w:line="336" w:lineRule="auto"/>
      </w:pPr>
      <w:r>
        <w:rPr>
          <w:sz w:val="22"/>
        </w:rPr>
        <w:t xml:space="preserve">原料药选定 1 至 2 家登记企业开展关联，优先考虑同时具备制剂与原料能力或供应稳定性可验证的企业；14 家登记全部处于 I 状态，议价空间充足。</w:t>
      </w:r>
    </w:p>
    <w:p w14:paraId="001003A2" w14:textId="001003A3">
      <w:pPr>
        <w:numPr>
          <w:ilvl w:val="0"/>
          <w:numId w:val="2"/>
        </w:numPr>
        <w:spacing w:after="80" w:line="336" w:lineRule="auto"/>
      </w:pPr>
      <w:r>
        <w:rPr>
          <w:sz w:val="22"/>
        </w:rPr>
        <w:t xml:space="preserve">BE 可以启动，但须在立项文件中明确：2026 至 2027 年可能取得的批准文号在 2030 年 9 月之前不构成可销售资产，不得据此编制销售预算或产能计划。</w:t>
      </w:r>
    </w:p>
    <w:p w14:paraId="001003A4" w14:textId="001003A5">
      <w:pPr>
        <w:numPr>
          <w:ilvl w:val="0"/>
          <w:numId w:val="2"/>
        </w:numPr>
        <w:spacing w:after="80" w:line="336" w:lineRule="auto"/>
      </w:pPr>
      <w:r>
        <w:rPr>
          <w:sz w:val="22"/>
        </w:rPr>
        <w:t xml:space="preserve">专利声明策略建议采用 3 类（承诺到期前不上市），与行业主流一致；不建议跟随天地恒一的 4.1 类路线，除非企业具备专利无效与侵权诉讼的完整能力与预算。</w:t>
      </w:r>
    </w:p>
    <w:p w14:paraId="001003A6" w14:textId="001003A7">
      <w:pPr>
        <w:numPr>
          <w:ilvl w:val="0"/>
          <w:numId w:val="2"/>
        </w:numPr>
        <w:spacing w:after="160" w:line="336" w:lineRule="auto"/>
      </w:pPr>
      <w:r>
        <w:rPr>
          <w:sz w:val="22"/>
        </w:rPr>
        <w:t xml:space="preserve">立项前须补齐的资料：官方说明书与药代资料（国内说明书库为空，建议从日本 PMDA 文件与文献获取）、正式 FTO 意见书（含晶型专利无效判决核验与同族检索）。</w:t>
      </w:r>
    </w:p>
    <w:p w14:paraId="001003A8" w14:textId="0010046D">
      <w:pPr>
        <w:pStyle w:val="Heading2"/>
        <w:spacing w:before="240" w:after="120"/>
      </w:pPr>
      <w:r>
        <w:rPr>
          <w:rFonts w:eastAsia="黑体"/>
          <w:b/>
          <w:color w:val="2E5496"/>
          <w:sz w:val="28"/>
        </w:rPr>
        <w:t xml:space="preserve">13.3 不建议开展的工作</w:t>
      </w:r>
    </w:p>
    <w:p w14:paraId="001003AA" w14:textId="001003AB">
      <w:pPr>
        <w:spacing w:after="160" w:line="336" w:lineRule="auto"/>
        <w:ind w:firstLine="240"/>
      </w:pPr>
      <w:r>
        <w:rPr>
          <w:sz w:val="22"/>
        </w:rPr>
        <w:t xml:space="preserve">不建议按首仿抢量逻辑配置商业化编制、专线产能与招标团队。首仿位次已被天地恒一占据，其路线依赖 4.1 与 4.2 类声明对赌，跟随者承担的诉讼风险与收益不对称；同时 19 家已申报企业加约 50 家 BE 队列意味着到 2030 年专利到期时，过评企业数量很可能已足以触发集采，届时价格将迅速向非布司他式水平收敛。</w:t>
      </w:r>
    </w:p>
    <w:p w14:paraId="001003AC" w14:textId="0010046E">
      <w:pPr>
        <w:pStyle w:val="Heading2"/>
        <w:spacing w:before="240" w:after="120"/>
      </w:pPr>
      <w:r>
        <w:rPr>
          <w:rFonts w:eastAsia="黑体"/>
          <w:b/>
          <w:color w:val="2E5496"/>
          <w:sz w:val="28"/>
        </w:rPr>
        <w:t xml:space="preserve">13.4 跟踪触发条件</w:t>
      </w:r>
    </w:p>
    <w:p w14:paraId="001003AE" w14:textId="001003AF">
      <w:pPr>
        <w:spacing w:after="160" w:line="336" w:lineRule="auto"/>
        <w:ind w:firstLine="240"/>
      </w:pPr>
      <w:r>
        <w:rPr>
          <w:sz w:val="22"/>
        </w:rPr>
        <w:t xml:space="preserve">以下任一条件出现，应重启评分并复核立项结论：化合物专利 ZL201080042866.9 的无效行政或司法结论出现；天地恒一 4.1 类声明的审评结论落地；出现首家通过一致性评价的企业；2027 年末医保协议续约价格公布或挂网价 559 元发生调整；sales_cn 库出现国内医院销售样本；1 mg 规格补充挂网。</w:t>
      </w:r>
    </w:p>
    <w:p w14:paraId="001003B0" w14:textId="00100453">
      <w:pPr>
        <w:pStyle w:val="Heading1"/>
        <w:pageBreakBefore/>
        <w:spacing w:after="240"/>
      </w:pPr>
      <w:r>
        <w:rPr>
          <w:rFonts w:eastAsia="黑体"/>
          <w:b/>
          <w:color w:val="1F3864"/>
          <w:sz w:val="36"/>
        </w:rPr>
        <w:t xml:space="preserve">十四、风险提示与数据局限</w:t>
      </w:r>
    </w:p>
    <w:p w14:paraId="001003B2" w14:textId="0010046F">
      <w:pPr>
        <w:pStyle w:val="Heading2"/>
        <w:spacing w:before="240" w:after="120"/>
      </w:pPr>
      <w:r>
        <w:rPr>
          <w:rFonts w:eastAsia="黑体"/>
          <w:b/>
          <w:color w:val="2E5496"/>
          <w:sz w:val="28"/>
        </w:rPr>
        <w:t xml:space="preserve">14.1 主要风险</w:t>
      </w:r>
    </w:p>
    <w:p w14:paraId="001003B4" w14:textId="001003B5">
      <w:pPr>
        <w:numPr>
          <w:ilvl w:val="0"/>
          <w:numId w:val="3"/>
        </w:numPr>
        <w:spacing w:after="80" w:line="336" w:lineRule="auto"/>
      </w:pPr>
      <w:r>
        <w:rPr>
          <w:sz w:val="22"/>
        </w:rPr>
        <w:t xml:space="preserve">专利风险：化合物专利到期日为报告核心假设，若存在专利权期限补偿、同族分案或新用途专利登记，合法上市节点将进一步后移。</w:t>
      </w:r>
    </w:p>
    <w:p w14:paraId="001003B6" w14:textId="001003B7">
      <w:pPr>
        <w:numPr>
          <w:ilvl w:val="0"/>
          <w:numId w:val="3"/>
        </w:numPr>
        <w:spacing w:after="80" w:line="336" w:lineRule="auto"/>
      </w:pPr>
      <w:r>
        <w:rPr>
          <w:sz w:val="22"/>
        </w:rPr>
        <w:t xml:space="preserve">竞争风险：到 2030 年专利到期时，过评企业可能已达集采启动门槛，首批上市即面临集采降价，投资回收期显著拉长。</w:t>
      </w:r>
    </w:p>
    <w:p w14:paraId="001003B8" w14:textId="001003B9">
      <w:pPr>
        <w:numPr>
          <w:ilvl w:val="0"/>
          <w:numId w:val="3"/>
        </w:numPr>
        <w:spacing w:after="80" w:line="336" w:lineRule="auto"/>
      </w:pPr>
      <w:r>
        <w:rPr>
          <w:sz w:val="22"/>
        </w:rPr>
        <w:t xml:space="preserve">价格风险：当前 19.96 元/片的挂网价建立在谈判协议期内，2027 年末续约与后续集采均可能进一步下压价格空间。</w:t>
      </w:r>
    </w:p>
    <w:p w14:paraId="001003BA" w14:textId="001003BB">
      <w:pPr>
        <w:numPr>
          <w:ilvl w:val="0"/>
          <w:numId w:val="3"/>
        </w:numPr>
        <w:spacing w:after="160" w:line="336" w:lineRule="auto"/>
      </w:pPr>
      <w:r>
        <w:rPr>
          <w:sz w:val="22"/>
        </w:rPr>
        <w:t xml:space="preserve">临床替代风险：非布司他与别嘌醇已深度集采、价格极低，多替诺雷的机制差异能否转化为稳定的处方份额，目前缺乏国内真实世界数据支撑。</w:t>
      </w:r>
    </w:p>
    <w:p w14:paraId="001003BC" w14:textId="00100470">
      <w:pPr>
        <w:pStyle w:val="Heading2"/>
        <w:spacing w:before="240" w:after="120"/>
      </w:pPr>
      <w:r>
        <w:rPr>
          <w:rFonts w:eastAsia="黑体"/>
          <w:b/>
          <w:color w:val="2E5496"/>
          <w:sz w:val="28"/>
        </w:rPr>
        <w:t xml:space="preserve">14.2 数据局限清单</w:t>
      </w:r>
    </w:p>
    <w:p w14:paraId="001003BE" w14:textId="0010048D">
      <w:pPr>
        <w:keepNext/>
        <w:spacing w:after="80"/>
      </w:pPr>
      <w:r>
        <w:rPr>
          <w:b/>
          <w:color w:val="44546A"/>
          <w:sz w:val="20"/>
        </w:rPr>
        <w:t xml:space="preserve">表 14-1　本次检索未获取或不可得的数据项</w:t>
      </w:r>
    </w:p>
    <w:tbl>
      <w:tblPr>
        <w:tblW w:w="5000" w:type="pct"/>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Grid>
        <w:gridCol w:w="4535"/>
        <w:gridCol w:w="4535"/>
      </w:tblGrid>
      <w:tr>
        <w:trPr>
          <w:tblHeader/>
        </w:trPr>
        <w:tc>
          <w:p w14:paraId="001003C0" w14:textId="001003C1">
            <w:r>
              <w:t xml:space="preserve">数据项</w:t>
            </w:r>
          </w:p>
        </w:tc>
        <w:tc>
          <w:p w14:paraId="001003C2" w14:textId="001003C3">
            <w:r>
              <w:t xml:space="preserve">状态与影响</w:t>
            </w:r>
          </w:p>
        </w:tc>
      </w:tr>
      <w:tr>
        <w:trPr/>
        <w:tc>
          <w:p w14:paraId="001003C4" w14:textId="001003C5">
            <w:r>
              <w:t xml:space="preserve">国内医院销售（sales_cn）</w:t>
            </w:r>
          </w:p>
        </w:tc>
        <w:tc>
          <w:p w14:paraId="001003C6" w14:textId="001003C7">
            <w:r>
              <w:t xml:space="preserve">0 条。进口时间过短，无法评估国内实际放量</w:t>
            </w:r>
          </w:p>
        </w:tc>
      </w:tr>
      <w:tr>
        <w:trPr/>
        <w:tc>
          <w:p w14:paraId="001003C8" w14:textId="001003C9">
            <w:r>
              <w:t xml:space="preserve">药品说明书（shuomingshu）</w:t>
            </w:r>
          </w:p>
        </w:tc>
        <w:tc>
          <w:p w14:paraId="001003CA" w14:textId="001003CB">
            <w:r>
              <w:t xml:space="preserve">0 条。缺少药代、辅料与溶出信息，处方前研究需另找来源</w:t>
            </w:r>
          </w:p>
        </w:tc>
      </w:tr>
      <w:tr>
        <w:trPr/>
        <w:tc>
          <w:p w14:paraId="001003CC" w14:textId="001003CD">
            <w:r>
              <w:t xml:space="preserve">中国上市药品目录集（cn_orange_book）</w:t>
            </w:r>
          </w:p>
        </w:tc>
        <w:tc>
          <w:p w14:paraId="001003CE" w14:textId="001003CF">
            <w:r>
              <w:t xml:space="preserve">0 条。无法从目录集侧交叉验证参比与专利信息</w:t>
            </w:r>
          </w:p>
        </w:tc>
      </w:tr>
      <w:tr>
        <w:trPr/>
        <w:tc>
          <w:p w14:paraId="001003D0" w14:textId="001003D1">
            <w:r>
              <w:t xml:space="preserve">药品注册相关专利（nmpa_reg_patent）</w:t>
            </w:r>
          </w:p>
        </w:tc>
        <w:tc>
          <w:p w14:paraId="001003D2" w14:textId="001003D3">
            <w:r>
              <w:t xml:space="preserve">0 条。专利信息无法与 zldj 交叉验证</w:t>
            </w:r>
          </w:p>
        </w:tc>
      </w:tr>
      <w:tr>
        <w:trPr/>
        <w:tc>
          <w:p w14:paraId="001003D4" w14:textId="001003D5">
            <w:r>
              <w:t xml:space="preserve">晶型专利无效判决全文</w:t>
            </w:r>
          </w:p>
        </w:tc>
        <w:tc>
          <w:p w14:paraId="001003D6" w14:textId="001003D7">
            <w:r>
              <w:t xml:space="preserve">未逐件核验，仅见声明中引用（2023）最高法知民终 7 号</w:t>
            </w:r>
          </w:p>
        </w:tc>
      </w:tr>
      <w:tr>
        <w:trPr/>
        <w:tc>
          <w:p w14:paraId="001003D8" w14:textId="001003D9">
            <w:r>
              <w:t xml:space="preserve">1 mg 规格挂网价</w:t>
            </w:r>
          </w:p>
        </w:tc>
        <w:tc>
          <w:p w14:paraId="001003DA" w14:textId="001003DB">
            <w:r>
              <w:t xml:space="preserve">zhaobiao 43 条中未出现，1 mg 终端价格不可得</w:t>
            </w:r>
          </w:p>
        </w:tc>
      </w:tr>
      <w:tr>
        <w:trPr/>
        <w:tc>
          <w:p w14:paraId="001003DC" w14:textId="001003DD">
            <w:r>
              <w:t xml:space="preserve">医保谈判支付价原文</w:t>
            </w:r>
          </w:p>
        </w:tc>
        <w:tc>
          <w:p w14:paraId="001003DE" w14:textId="001003DF">
            <w:r>
              <w:t xml:space="preserve">未取得。省级挂网公示 559 元 / 28 片与国谈口径一致，可作近似参照</w:t>
            </w:r>
          </w:p>
        </w:tc>
      </w:tr>
      <w:tr>
        <w:trPr/>
        <w:tc>
          <w:p w14:paraId="001003E0" w14:textId="001003E1">
            <w:r>
              <w:t xml:space="preserve">2025 年销售数据</w:t>
            </w:r>
          </w:p>
        </w:tc>
        <w:tc>
          <w:p w14:paraId="001003E2" w14:textId="001003E3">
            <w:r>
              <w:t xml:space="preserve">日本与中国均未取得；sales_global 库未检索</w:t>
            </w:r>
          </w:p>
        </w:tc>
      </w:tr>
      <w:tr>
        <w:trPr/>
        <w:tc>
          <w:p w14:paraId="001003E4" w14:textId="001003E5">
            <w:r>
              <w:t xml:space="preserve">行业新闻与公司公告</w:t>
            </w:r>
          </w:p>
        </w:tc>
        <w:tc>
          <w:p w14:paraId="001003E6" w14:textId="001003E7">
            <w:r>
              <w:t xml:space="preserve">zb_news、se_notice 以品种名与商品名检索均为 0 条，舆情面不可得</w:t>
            </w:r>
          </w:p>
        </w:tc>
      </w:tr>
    </w:tbl>
    <w:p w14:paraId="001003E8" w14:textId="001003E9">
      <w:pPr>
        <w:spacing w:before="200" w:after="160" w:line="336" w:lineRule="auto"/>
        <w:ind w:firstLine="240"/>
      </w:pPr>
      <w:r>
        <w:rPr>
          <w:sz w:val="22"/>
        </w:rPr>
        <w:t xml:space="preserve">上述缺口均已在正文相应章节标注，本报告未以估算值替代。其中说明书缺失与 FTO 核验两项属于立项前必须闭环的事项，其余各项列入持续跟踪清单。</w:t>
      </w:r>
    </w:p>
    <w:p w14:paraId="001003EA" w14:textId="00100454">
      <w:pPr>
        <w:pStyle w:val="Heading1"/>
        <w:pageBreakBefore/>
        <w:spacing w:after="240"/>
      </w:pPr>
      <w:r>
        <w:rPr>
          <w:rFonts w:eastAsia="黑体"/>
          <w:b/>
          <w:color w:val="1F3864"/>
          <w:sz w:val="36"/>
        </w:rPr>
        <w:t xml:space="preserve">十五、参考文献</w:t>
      </w:r>
    </w:p>
    <w:p w14:paraId="001003EC" w14:textId="001003ED">
      <w:pPr>
        <w:spacing w:after="200" w:line="336" w:lineRule="auto"/>
        <w:ind w:firstLine="240"/>
      </w:pPr>
      <w:r>
        <w:rPr>
          <w:sz w:val="22"/>
        </w:rPr>
        <w:t xml:space="preserve">本报告全部数据来源于药海 DrugSea 数据库（https://db.drugsea.cn）各子库检索结果，检索日期为 2026 年 9 月 11 日。以下按引用顺序列出数据源与关键文件依据。</w:t>
      </w:r>
    </w:p>
    <w:p w14:paraId="001003EE" w14:textId="001003EF">
      <w:pPr>
        <w:spacing w:after="100" w:line="312" w:lineRule="auto"/>
        <w:ind w:hanging="480"/>
      </w:pPr>
      <w:r>
        <w:rPr>
          <w:sz w:val="21"/>
        </w:rPr>
        <w:t xml:space="preserve">[1] 药海 DrugSea，product_cn（中国上市药品库）。检索项：多替诺雷。批准文号 HJ20240163、HJ20240164，首次上市 2024-12-06。</w:t>
      </w:r>
    </w:p>
    <w:p w14:paraId="001003F0" w14:textId="001003F1">
      <w:pPr>
        <w:spacing w:after="100" w:line="312" w:lineRule="auto"/>
        <w:ind w:hanging="480"/>
      </w:pPr>
      <w:r>
        <w:rPr>
          <w:sz w:val="21"/>
        </w:rPr>
        <w:t xml:space="preserve">[2] 药海 DrugSea，cn_reference_drugs（参比制剂库）。第 93 批（2025-07-08）编号 93-33、93-34；第 81 批（2024-06-17）编号 81-4、81-5、81-6。</w:t>
      </w:r>
    </w:p>
    <w:p w14:paraId="001003F2" w14:textId="001003F3">
      <w:pPr>
        <w:spacing w:after="100" w:line="312" w:lineRule="auto"/>
        <w:ind w:hanging="480"/>
      </w:pPr>
      <w:r>
        <w:rPr>
          <w:sz w:val="21"/>
        </w:rPr>
        <w:t xml:space="preserve">[3] 药海 DrugSea，generic_cn 与 yzpj_products（一致性评价产品库）。多替诺雷片：上市 1、过评 0、仿制申请 19、一致性评价申请 38、BE 登记 51、参比 5、集采 0。</w:t>
      </w:r>
    </w:p>
    <w:p w14:paraId="001003F4" w14:textId="001003F5">
      <w:pPr>
        <w:spacing w:after="100" w:line="312" w:lineRule="auto"/>
        <w:ind w:hanging="480"/>
      </w:pPr>
      <w:r>
        <w:rPr>
          <w:sz w:val="21"/>
        </w:rPr>
        <w:t xml:space="preserve">[4] 药海 DrugSea，reg_cn（CDE 注册审评库）。化学药品 4 类 38 条、5.1 类 2 条；受理号 JXHS2400007、JXHS2400008、JXHL2100094、JXHL2100095、CYHS2503112、CYHS2504481。</w:t>
      </w:r>
    </w:p>
    <w:p w14:paraId="001003F6" w14:textId="001003F7">
      <w:pPr>
        <w:spacing w:after="100" w:line="312" w:lineRule="auto"/>
        <w:ind w:hanging="480"/>
      </w:pPr>
      <w:r>
        <w:rPr>
          <w:sz w:val="21"/>
        </w:rPr>
        <w:t xml:space="preserve">[5] 药海 DrugSea，zldj（化学药专利登记库）。专利 ZL201080042866.9「新型苯酚衍生物」，授权 2015-03-25，有效至 2030-09-28；专利 ZL201880027057.7「晶型及其盐」，授权 2023-03-10，公示有效至 2038-04-26；登记公示日 2024-12-25。</w:t>
      </w:r>
    </w:p>
    <w:p w14:paraId="001003F8" w14:textId="001003F9">
      <w:pPr>
        <w:spacing w:after="100" w:line="312" w:lineRule="auto"/>
        <w:ind w:hanging="480"/>
      </w:pPr>
      <w:r>
        <w:rPr>
          <w:sz w:val="21"/>
        </w:rPr>
        <w:t xml:space="preserve">[6] 药海 DrugSea，zlsm（专利声明库）。该品种声明 38 条，含 2 类、3 类、4.1 类与 4.2 类声明；声明理由中引用（2023）最高法知民终 7 号。</w:t>
      </w:r>
    </w:p>
    <w:p w14:paraId="001003FA" w14:textId="001003FB">
      <w:pPr>
        <w:spacing w:after="100" w:line="312" w:lineRule="auto"/>
        <w:ind w:hanging="480"/>
      </w:pPr>
      <w:r>
        <w:rPr>
          <w:sz w:val="21"/>
        </w:rPr>
        <w:t xml:space="preserve">[7] 药海 DrugSea，cde_yfb_registration（原辅包登记库）。多替诺雷原料药登记 14 家，登记状态均为 I，登记年份 2025—2026。</w:t>
      </w:r>
    </w:p>
    <w:p w14:paraId="001003FC" w14:textId="001003FD">
      <w:pPr>
        <w:spacing w:after="100" w:line="312" w:lineRule="auto"/>
        <w:ind w:hanging="480"/>
      </w:pPr>
      <w:r>
        <w:rPr>
          <w:sz w:val="21"/>
        </w:rPr>
        <w:t xml:space="preserve">[8] 药海 DrugSea，ct_cn（国内临床试验库）。登记 53 条，以 BE 备案为主，含 CTR20263424、CTR20263189、CTR20263223、CTR20263117、CTR20262837 等。</w:t>
      </w:r>
    </w:p>
    <w:p w14:paraId="001003FE" w14:textId="001003FF">
      <w:pPr>
        <w:spacing w:after="100" w:line="312" w:lineRule="auto"/>
        <w:ind w:hanging="480"/>
      </w:pPr>
      <w:r>
        <w:rPr>
          <w:sz w:val="21"/>
        </w:rPr>
        <w:t xml:space="preserve">[9] 药海 DrugSea，ct_global（全球临床试验库）。NCT05007392（卫材中国，III 期，对照非布司他，已完成）；NCT07089875、NCT07089888、NCT07535034（Crystalys Therapeutics，对照别嘌醇）；DIANA-NEXT 研究。</w:t>
      </w:r>
    </w:p>
    <w:p w14:paraId="00100400" w14:textId="00100401">
      <w:pPr>
        <w:spacing w:after="100" w:line="312" w:lineRule="auto"/>
        <w:ind w:hanging="480"/>
      </w:pPr>
      <w:r>
        <w:rPr>
          <w:sz w:val="21"/>
        </w:rPr>
        <w:t xml:space="preserve">[10] 国家医疗保障局：医保发〔2025〕33 号，2025 年国家医保药品目录及商业健康保险创新药品目录，2025-12-07 公布，协议执行期 2026-01-01 至 2027-12-31。经由药海 DrugSea yibao 库检索获得。</w:t>
      </w:r>
    </w:p>
    <w:p w14:paraId="00100402" w14:textId="00100403">
      <w:pPr>
        <w:spacing w:after="100" w:line="312" w:lineRule="auto"/>
        <w:ind w:hanging="480"/>
      </w:pPr>
      <w:r>
        <w:rPr>
          <w:sz w:val="21"/>
        </w:rPr>
        <w:t xml:space="preserve">[11] 药海 DrugSea，nhsa_code（医保药品分类与代码库）。保险编号 TX313；药品代码 XM04ABD376A001010185383、XM04ABD376A001010285383；药品本位码 86985383000024。</w:t>
      </w:r>
    </w:p>
    <w:p w14:paraId="00100404" w14:textId="00100405">
      <w:pPr>
        <w:spacing w:after="100" w:line="312" w:lineRule="auto"/>
        <w:ind w:hanging="480"/>
      </w:pPr>
      <w:r>
        <w:rPr>
          <w:sz w:val="21"/>
        </w:rPr>
        <w:t xml:space="preserve">[12] 药海 DrugSea，zhaobiao（国内药品中标库）。多替诺雷片挂网记录 43 条，覆盖 17 省，公示价 559.00 元 / 28 片、19.96 元 / 片。原始来源含广东省药品和医用耗材招采管理系统、海南省医药集中采购服务信息公示平台、宁夏医药采购平台，以及吉林、山西、辽宁、青海等省级集中采购通知。</w:t>
      </w:r>
    </w:p>
    <w:p w14:paraId="00100406" w14:textId="00100407">
      <w:pPr>
        <w:spacing w:after="100" w:line="312" w:lineRule="auto"/>
        <w:ind w:hanging="480"/>
      </w:pPr>
      <w:r>
        <w:rPr>
          <w:sz w:val="21"/>
        </w:rPr>
        <w:t xml:space="preserve">[13] 药海 DrugSea，jicai（国家与地方集采数据库）。多替诺雷 0 条；非布司他 814 条，含 2023 年广东省替硝唑等药品集中带量采购中选结果。</w:t>
      </w:r>
    </w:p>
    <w:p w14:paraId="00100408" w14:textId="00100409">
      <w:pPr>
        <w:spacing w:after="100" w:line="312" w:lineRule="auto"/>
        <w:ind w:hanging="480"/>
      </w:pPr>
      <w:r>
        <w:rPr>
          <w:sz w:val="21"/>
        </w:rPr>
        <w:t xml:space="preserve">[14] 药海 DrugSea，drugsales（全终端药品销售库，VIP 权限 groupid=205）。日本 2023 年与 2024 年各 10 条记录，合计 2177 万美元与 2783 万美元；孟加拉仿制药 DOTIN、DOTFIX、DOTINOR 销售记录。</w:t>
      </w:r>
    </w:p>
    <w:p w14:paraId="0010040A" w14:textId="0010040B">
      <w:pPr>
        <w:spacing w:after="100" w:line="312" w:lineRule="auto"/>
        <w:ind w:hanging="480"/>
      </w:pPr>
      <w:r>
        <w:rPr>
          <w:sz w:val="21"/>
        </w:rPr>
        <w:t xml:space="preserve">[15] 药海 DrugSea，sales_cn（国内医院药品销售库）。检索该品种返回 0 条，样本期不足。</w:t>
      </w:r>
    </w:p>
    <w:p w14:paraId="0010040C" w14:textId="0010040D">
      <w:pPr>
        <w:spacing w:after="100" w:line="312" w:lineRule="auto"/>
        <w:ind w:hanging="480"/>
      </w:pPr>
      <w:r>
        <w:rPr>
          <w:sz w:val="21"/>
        </w:rPr>
        <w:t xml:space="preserve">[16] 药海 DrugSea，product_jp、product_us、product_eu、fda_dmf。日本 2020-05-01 上市（ユリス，0.5 / 1 / 2 mg）；美国与欧盟均无上市记录；美国 DMF 检索 Dotinurad 为 0 条。</w:t>
      </w:r>
    </w:p>
    <w:p w14:paraId="0010040E" w14:textId="0010040F">
      <w:pPr>
        <w:spacing w:after="100" w:line="312" w:lineRule="auto"/>
        <w:ind w:hanging="480"/>
      </w:pPr>
      <w:r>
        <w:rPr>
          <w:sz w:val="21"/>
        </w:rPr>
        <w:t xml:space="preserve">[17] 药海 DrugSea，targets（药物靶点库）。URAT1 / SLC22A12，UniProt 编号 Q96S37；该条目尚未收录多替诺雷。</w:t>
      </w:r>
    </w:p>
    <w:p w14:paraId="00100410" w14:textId="00100411">
      <w:pPr>
        <w:spacing w:after="100" w:line="312" w:lineRule="auto"/>
        <w:ind w:hanging="480"/>
      </w:pPr>
      <w:r>
        <w:rPr>
          <w:sz w:val="21"/>
        </w:rPr>
        <w:t xml:space="preserve">[18] 中国临床试验注册中心（ChiCTR）。青岛大学附属医院开展的混合型痛风非布司他对照多替诺雷随机对照研究。经由药海 DrugSea 检索获得。</w:t>
      </w:r>
    </w:p>
    <w:p w14:paraId="00100412" w14:textId="00100413">
      <w:pPr>
        <w:spacing w:after="100" w:line="312" w:lineRule="auto"/>
        <w:ind w:hanging="480"/>
      </w:pPr>
      <w:r>
        <w:rPr>
          <w:sz w:val="21"/>
        </w:rPr>
        <w:t xml:space="preserve">[19] 药海 DrugSea，jiyao（基本药物目录库）、cn_orange_book（中国上市药品目录集）、shuomingshu（说明书库）、nmpa_reg_patent（注册相关专利库）、zb_news（全国招标动态）、se_notice（医药上市公司公告）、gov_drugs（政府用药目录）。上述各库对本品种检索结果均为 0 条。</w:t>
      </w:r>
    </w:p>
    <w:p w14:paraId="00100414" w14:textId="00100415">
      <w:pPr>
        <w:pageBreakBefore/>
        <w:spacing w:before="2400" w:after="200"/>
        <w:jc w:val="center"/>
      </w:pPr>
      <w:r>
        <w:rPr>
          <w:b/>
          <w:color w:val="1F3864"/>
          <w:sz w:val="32"/>
        </w:rPr>
        <w:t xml:space="preserve">报告结束</w:t>
      </w:r>
    </w:p>
    <w:p w14:paraId="00100416" w14:textId="00100417">
      <w:pPr>
        <w:pBdr>
          <w:bottom w:val="single" w:color="1F3864" w:sz="8" w:space="6"/>
        </w:pBdr>
        <w:spacing w:after="120"/>
        <w:jc w:val="center"/>
      </w:pPr>
      <w:r>
        <w:rPr>
          <w:color w:val="44546A"/>
          <w:sz w:val="24"/>
        </w:rPr>
        <w:t xml:space="preserve">多替诺雷片立项调研报告　V1.0</w:t>
      </w:r>
    </w:p>
    <w:p w14:paraId="00100418" w14:textId="00100419">
      <w:pPr>
        <w:spacing w:before="520" w:after="120"/>
        <w:jc w:val="center"/>
      </w:pPr>
      <w:r>
        <w:rPr>
          <w:b/>
          <w:color w:val="C00000"/>
          <w:sz w:val="22"/>
        </w:rPr>
        <w:t xml:space="preserve">一句话结论</w:t>
      </w:r>
    </w:p>
    <w:p w14:paraId="0010041A" w14:textId="0010041B">
      <w:pPr>
        <w:spacing w:after="480"/>
        <w:ind w:left="400"/>
        <w:jc w:val="center"/>
      </w:pPr>
      <w:r>
        <w:rPr>
          <w:sz w:val="23"/>
        </w:rPr>
        <w:t xml:space="preserve">技术上能做，现在不能卖，卖了也不算好生意。建议以卡位口径立项，研发先行、商业化后置，锚定 2030 年 9 月 28 日化合物专利到期。</w:t>
      </w:r>
    </w:p>
    <w:p w14:paraId="0010041C" w14:textId="0010041D">
      <w:pPr>
        <w:spacing w:after="120"/>
        <w:jc w:val="center"/>
      </w:pPr>
      <w:r>
        <w:rPr>
          <w:b/>
          <w:color w:val="1F3864"/>
          <w:sz w:val="22"/>
        </w:rPr>
        <w:t xml:space="preserve">下一步动作</w:t>
      </w:r>
    </w:p>
    <w:p w14:paraId="0010041E" w14:textId="0010041F">
      <w:pPr>
        <w:spacing w:after="60"/>
        <w:jc w:val="center"/>
      </w:pPr>
      <w:r>
        <w:rPr>
          <w:sz w:val="21"/>
        </w:rPr>
        <w:t xml:space="preserve">一、由知识产权部门出具正式 FTO 意见，核验晶型专利无效判决与化合物专利同族。</w:t>
      </w:r>
    </w:p>
    <w:p w14:paraId="00100420" w14:textId="00100421">
      <w:pPr>
        <w:spacing w:after="60"/>
        <w:jc w:val="center"/>
      </w:pPr>
      <w:r>
        <w:rPr>
          <w:sz w:val="21"/>
        </w:rPr>
        <w:t xml:space="preserve">二、补齐官方说明书与药代资料，启动 1 mg 与 2 mg 小试及溶出曲线对比。</w:t>
      </w:r>
    </w:p>
    <w:p w14:paraId="00100422" w14:textId="00100423">
      <w:pPr>
        <w:spacing w:after="60"/>
        <w:jc w:val="center"/>
      </w:pPr>
      <w:r>
        <w:rPr>
          <w:sz w:val="21"/>
        </w:rPr>
        <w:t xml:space="preserve">三、筛选 1 至 2 家原料药登记企业开展关联，锁定供应与价格条件。</w:t>
      </w:r>
    </w:p>
    <w:p w14:paraId="00100424" w14:textId="00100425">
      <w:pPr>
        <w:spacing w:after="600"/>
        <w:jc w:val="center"/>
      </w:pPr>
      <w:r>
        <w:rPr>
          <w:sz w:val="21"/>
        </w:rPr>
        <w:t xml:space="preserve">四、建立季度跟踪机制，监控专利无效结论、首家过评与医保续约价格。</w:t>
      </w:r>
    </w:p>
    <w:p w14:paraId="00100426" w14:textId="00100478">
      <w:pPr>
        <w:spacing w:after="80"/>
        <w:jc w:val="center"/>
      </w:pPr>
      <w:r>
        <w:rPr>
          <w:color w:val="7F7F7F"/>
          <w:sz w:val="19"/>
        </w:rPr>
        <w:t xml:space="preserve">数据来源：药海 DrugSea 数据库　·　数据截止：2026 年 9 月 11 日　·　编制：立项调研工作组</w:t>
      </w:r>
    </w:p>
    <w:p w14:paraId="00100428" w14:textId="00100429">
      <w:pPr>
        <w:jc w:val="center"/>
      </w:pPr>
      <w:r>
        <w:rPr>
          <w:i/>
          <w:color w:val="7F7F7F"/>
          <w:sz w:val="18"/>
        </w:rPr>
        <w:t xml:space="preserve">本报告为内部立项决策参考，所载打分为框架加权结果而非预测模型输出，专利部分不构成法律意见。</w:t>
      </w:r>
    </w:p>
    <w:sectPr>
      <w:headerReference w:type="first" r:id="R2a04d61a552043fc"/>
      <w:headerReference w:type="default" r:id="Rf2700b0285704afe"/>
      <w:footerReference w:type="default" r:id="R36cf9311d56e48fe"/>
      <w:footerReference w:type="first" r:id="R5f00567512434305"/>
      <w:pgSz w:w="11906" w:h="16838"/>
      <w:pgMar w:top="1418" w:right="1418" w:bottom="1418" w:left="1418"/>
      <w:titlePg/>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42F" w14:textId="00100430">
    <w:pPr/>
    <w:r>
      <w:t xml:space="preserve"/>
    </w:r>
  </w:p>
</w:ftr>
</file>

<file path=word/footer2.xml><?xml version="1.0" encoding="utf-8"?>
<w:ftr xmlns:mc="http://schemas.openxmlformats.org/markup-compatibility/2006" xmlns:w14="http://schemas.microsoft.com/office/word/2010/wordml" xmlns:w="http://schemas.openxmlformats.org/wordprocessingml/2006/main" mc:Ignorable="w14">
  <w:p w14:paraId="00100431" w14:textId="0010043B">
    <w:pPr>
      <w:jc w:val="center"/>
    </w:pPr>
    <w:r>
      <w:rPr>
        <w:color w:val="595959"/>
        <w:sz w:val="18"/>
      </w:rPr>
      <w:t xml:space="preserve">第 </w:t>
    </w:r>
    <w:r>
      <w:fldChar w:fldCharType="begin"/>
    </w:r>
    <w:r>
      <w:instrText xml:space="preserve"> PAGE </w:instrText>
    </w:r>
    <w:r>
      <w:fldChar w:fldCharType="separate"/>
    </w:r>
    <w:r>
      <w:rPr>
        <w:color w:val="595959"/>
        <w:sz w:val="18"/>
      </w:rPr>
      <w:t xml:space="preserve">1</w:t>
    </w:r>
    <w:r>
      <w:fldChar w:fldCharType="end"/>
    </w:r>
    <w:r>
      <w:rPr>
        <w:color w:val="595959"/>
        <w:sz w:val="18"/>
      </w:rPr>
      <w:t xml:space="preserve"> 页　共 </w:t>
    </w:r>
    <w:r>
      <w:fldChar w:fldCharType="begin"/>
    </w:r>
    <w:r>
      <w:instrText xml:space="preserve"> NUMPAGES </w:instrText>
    </w:r>
    <w:r>
      <w:fldChar w:fldCharType="separate"/>
    </w:r>
    <w:r>
      <w:rPr>
        <w:color w:val="595959"/>
        <w:sz w:val="18"/>
      </w:rPr>
      <w:t xml:space="preserve">1</w:t>
    </w:r>
    <w:r>
      <w:fldChar w:fldCharType="end"/>
    </w:r>
    <w:r>
      <w:rPr>
        <w:color w:val="595959"/>
        <w:sz w:val="18"/>
      </w:rPr>
      <w:t xml:space="preserve"> 页</w:t>
    </w:r>
  </w:p>
</w:ftr>
</file>

<file path=word/header1.xml><?xml version="1.0" encoding="utf-8"?>
<w:hdr xmlns:mc="http://schemas.openxmlformats.org/markup-compatibility/2006" xmlns:w14="http://schemas.microsoft.com/office/word/2010/wordml" xmlns:w="http://schemas.openxmlformats.org/wordprocessingml/2006/main" mc:Ignorable="w14">
  <w:p w14:paraId="0010043C" w14:textId="00100479">
    <w:pPr>
      <w:jc w:val="right"/>
    </w:pPr>
    <w:r>
      <w:rPr>
        <w:color w:val="7F7F7F"/>
        <w:sz w:val="18"/>
      </w:rPr>
      <w:t xml:space="preserve">多替诺雷片立项调研报告　·　数据截止 2026-09-11</w:t>
    </w:r>
  </w:p>
</w:hdr>
</file>

<file path=word/header2.xml><?xml version="1.0" encoding="utf-8"?>
<w:hdr xmlns:mc="http://schemas.openxmlformats.org/markup-compatibility/2006" xmlns:w14="http://schemas.microsoft.com/office/word/2010/wordml" xmlns:w="http://schemas.openxmlformats.org/wordprocessingml/2006/main" mc:Ignorable="w14">
  <w:p w14:paraId="0010043E" w14:textId="0010043F">
    <w:pPr/>
    <w:r>
      <w:t xml:space="preserve"/>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updateField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宋体"/>
        <w:sz w:val="22"/>
        <w:szCs w:val="22"/>
      </w:rPr>
    </w:rPrDefault>
    <w:pPrDefault>
      <w:pPr>
        <w:spacing w:line="324" w:lineRule="auto"/>
      </w:pPr>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2f655778e0f746d6" /><Relationship Type="http://schemas.openxmlformats.org/officeDocument/2006/relationships/styles" Target="/word/styles.xml" Id="R1d12706ba2ca416d" /><Relationship Type="http://schemas.openxmlformats.org/officeDocument/2006/relationships/theme" Target="/word/theme/theme1.xml" Id="Rc2e3a9dd60734b7e" /><Relationship Type="http://schemas.openxmlformats.org/officeDocument/2006/relationships/numbering" Target="/word/numbering.xml" Id="Rce886203fc134115" /><Relationship Type="http://schemas.openxmlformats.org/officeDocument/2006/relationships/chart" Target="/word/charts/chart1.xml" Id="R6305dc563f574235" /><Relationship Type="http://schemas.openxmlformats.org/officeDocument/2006/relationships/chart" Target="/word/charts/chart3.xml" Id="Rdd16e0a438cb4b28" /><Relationship Type="http://schemas.openxmlformats.org/officeDocument/2006/relationships/chart" Target="/word/charts/chart4.xml" Id="R3ab540c8a4d04cdb" /><Relationship Type="http://schemas.openxmlformats.org/officeDocument/2006/relationships/footer" Target="/word/footer1.xml" Id="R5f00567512434305" /><Relationship Type="http://schemas.openxmlformats.org/officeDocument/2006/relationships/footer" Target="/word/footer2.xml" Id="R36cf9311d56e48fe" /><Relationship Type="http://schemas.openxmlformats.org/officeDocument/2006/relationships/header" Target="/word/header1.xml" Id="Rf2700b0285704afe" /><Relationship Type="http://schemas.openxmlformats.org/officeDocument/2006/relationships/header" Target="/word/header2.xml" Id="R2a04d61a552043fc" /><Relationship Type="http://schemas.openxmlformats.org/officeDocument/2006/relationships/chart" Target="/word/charts/chart7.xml" Id="R18fa9d9389ee48a6" /><Relationship Type="http://schemas.openxmlformats.org/officeDocument/2006/relationships/chart" Target="/word/charts/chart8.xml" Id="R2fe84c34089a4f74" /></Relationships>
</file>

<file path=word/charts/chart1.xml><?xml version="1.0" encoding="utf-8"?>
<c:chartSpace xmlns:a="http://schemas.openxmlformats.org/drawingml/2006/main" xmlns:c="http://schemas.openxmlformats.org/drawingml/2006/chart">
  <c:date1904 val="0"/>
  <c:chart>
    <c:title>
      <c:tx>
        <c:rich>
          <a:bodyPr xmlns:a="http://schemas.openxmlformats.org/drawingml/2006/main"/>
          <a:lstStyle xmlns:a="http://schemas.openxmlformats.org/drawingml/2006/main"/>
          <a:p xmlns:a="http://schemas.openxmlformats.org/drawingml/2006/main">
            <a:pPr>
              <a:defRPr sz="1400" b="1"/>
            </a:pPr>
            <a:r>
              <a:rPr lang="en-US" sz="1400" b="1"/>
              <a:t>竞争强度关键计数</a:t>
            </a:r>
          </a:p>
        </c:rich>
      </c:tx>
      <c:overlay val="0"/>
    </c:title>
    <c:plotArea>
      <c:layout/>
      <c:barChart>
        <c:barDir val="col"/>
        <c:grouping val="clustered"/>
        <c:varyColors val="0"/>
        <c:ser>
          <c:idx val="0"/>
          <c:order val="0"/>
          <c:tx>
            <c:v>数量</c:v>
          </c:tx>
          <c:spPr>
            <a:solidFill xmlns:a="http://schemas.openxmlformats.org/drawingml/2006/main">
              <a:srgbClr val="4472C4"/>
            </a:solidFill>
          </c:spPr>
          <c:invertIfNegative val="0"/>
          <c:cat>
            <c:strLit>
              <c:ptCount val="7"/>
              <c:pt idx="0">
                <c:v>原研上市品规</c:v>
              </c:pt>
              <c:pt idx="1">
                <c:v>4类申请企业</c:v>
              </c:pt>
              <c:pt idx="2">
                <c:v>一致性评价申请</c:v>
              </c:pt>
              <c:pt idx="3">
                <c:v>BE登记</c:v>
              </c:pt>
              <c:pt idx="4">
                <c:v>国内试验登记</c:v>
              </c:pt>
              <c:pt idx="5">
                <c:v>已过评</c:v>
              </c:pt>
              <c:pt idx="6">
                <c:v>国家集采</c:v>
              </c:pt>
            </c:strLit>
          </c:cat>
          <c:val>
            <c:numLit>
              <c:formatCode>General</c:formatCode>
              <c:ptCount val="7"/>
              <c:pt idx="0">
                <c:v>1</c:v>
              </c:pt>
              <c:pt idx="1">
                <c:v>19</c:v>
              </c:pt>
              <c:pt idx="2">
                <c:v>38</c:v>
              </c:pt>
              <c:pt idx="3">
                <c:v>51</c:v>
              </c:pt>
              <c:pt idx="4">
                <c:v>53</c:v>
              </c:pt>
              <c:pt idx="5">
                <c:v>0</c:v>
              </c:pt>
              <c:pt idx="6">
                <c:v>0</c:v>
              </c:pt>
            </c:numLit>
          </c:val>
        </c:ser>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chart>
</c:chartSpace>
</file>

<file path=word/charts/chart3.xml><?xml version="1.0" encoding="utf-8"?>
<c:chartSpace xmlns:a="http://schemas.openxmlformats.org/drawingml/2006/main" xmlns:c="http://schemas.openxmlformats.org/drawingml/2006/chart">
  <c:date1904 val="0"/>
  <c:chart>
    <c:title>
      <c:tx>
        <c:rich>
          <a:bodyPr xmlns:a="http://schemas.openxmlformats.org/drawingml/2006/main"/>
          <a:lstStyle xmlns:a="http://schemas.openxmlformats.org/drawingml/2006/main"/>
          <a:p xmlns:a="http://schemas.openxmlformats.org/drawingml/2006/main">
            <a:pPr>
              <a:defRPr sz="1400" b="1"/>
            </a:pPr>
            <a:r>
              <a:rPr lang="en-US" sz="1400" b="1"/>
              <a:t>各省挂网记录条数</a:t>
            </a:r>
          </a:p>
        </c:rich>
      </c:tx>
      <c:overlay val="0"/>
    </c:title>
    <c:plotArea>
      <c:layout/>
      <c:barChart>
        <c:barDir val="bar"/>
        <c:grouping val="clustered"/>
        <c:varyColors val="0"/>
        <c:ser>
          <c:idx val="0"/>
          <c:order val="0"/>
          <c:tx>
            <c:v>条数</c:v>
          </c:tx>
          <c:spPr>
            <a:solidFill xmlns:a="http://schemas.openxmlformats.org/drawingml/2006/main">
              <a:srgbClr val="4472C4"/>
            </a:solidFill>
          </c:spPr>
          <c:invertIfNegative val="0"/>
          <c:cat>
            <c:strLit>
              <c:ptCount val="17"/>
              <c:pt idx="0">
                <c:v>福建</c:v>
              </c:pt>
              <c:pt idx="1">
                <c:v>广东</c:v>
              </c:pt>
              <c:pt idx="2">
                <c:v>江苏</c:v>
              </c:pt>
              <c:pt idx="3">
                <c:v>吉林</c:v>
              </c:pt>
              <c:pt idx="4">
                <c:v>宁夏</c:v>
              </c:pt>
              <c:pt idx="5">
                <c:v>辽宁</c:v>
              </c:pt>
              <c:pt idx="6">
                <c:v>黑龙江</c:v>
              </c:pt>
              <c:pt idx="7">
                <c:v>山西</c:v>
              </c:pt>
              <c:pt idx="8">
                <c:v>河北</c:v>
              </c:pt>
              <c:pt idx="9">
                <c:v>湖北</c:v>
              </c:pt>
              <c:pt idx="10">
                <c:v>陕西</c:v>
              </c:pt>
              <c:pt idx="11">
                <c:v>海南</c:v>
              </c:pt>
              <c:pt idx="12">
                <c:v>青海</c:v>
              </c:pt>
              <c:pt idx="13">
                <c:v>广西</c:v>
              </c:pt>
              <c:pt idx="14">
                <c:v>河南</c:v>
              </c:pt>
              <c:pt idx="15">
                <c:v>贵州</c:v>
              </c:pt>
              <c:pt idx="16">
                <c:v>四川</c:v>
              </c:pt>
            </c:strLit>
          </c:cat>
          <c:val>
            <c:numLit>
              <c:formatCode>General</c:formatCode>
              <c:ptCount val="17"/>
              <c:pt idx="0">
                <c:v>8</c:v>
              </c:pt>
              <c:pt idx="1">
                <c:v>4</c:v>
              </c:pt>
              <c:pt idx="2">
                <c:v>4</c:v>
              </c:pt>
              <c:pt idx="3">
                <c:v>3</c:v>
              </c:pt>
              <c:pt idx="4">
                <c:v>3</c:v>
              </c:pt>
              <c:pt idx="5">
                <c:v>3</c:v>
              </c:pt>
              <c:pt idx="6">
                <c:v>3</c:v>
              </c:pt>
              <c:pt idx="7">
                <c:v>2</c:v>
              </c:pt>
              <c:pt idx="8">
                <c:v>2</c:v>
              </c:pt>
              <c:pt idx="9">
                <c:v>2</c:v>
              </c:pt>
              <c:pt idx="10">
                <c:v>2</c:v>
              </c:pt>
              <c:pt idx="11">
                <c:v>2</c:v>
              </c:pt>
              <c:pt idx="12">
                <c:v>1</c:v>
              </c:pt>
              <c:pt idx="13">
                <c:v>1</c:v>
              </c:pt>
              <c:pt idx="14">
                <c:v>1</c:v>
              </c:pt>
              <c:pt idx="15">
                <c:v>1</c:v>
              </c:pt>
              <c:pt idx="16">
                <c:v>1</c:v>
              </c:pt>
            </c:numLit>
          </c:val>
        </c:ser>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chart>
</c:chartSpace>
</file>

<file path=word/charts/chart4.xml><?xml version="1.0" encoding="utf-8"?>
<c:chartSpace xmlns:a="http://schemas.openxmlformats.org/drawingml/2006/main" xmlns:c="http://schemas.openxmlformats.org/drawingml/2006/chart">
  <c:date1904 val="0"/>
  <c:chart>
    <c:title>
      <c:tx>
        <c:rich>
          <a:bodyPr xmlns:a="http://schemas.openxmlformats.org/drawingml/2006/main"/>
          <a:lstStyle xmlns:a="http://schemas.openxmlformats.org/drawingml/2006/main"/>
          <a:p xmlns:a="http://schemas.openxmlformats.org/drawingml/2006/main">
            <a:pPr>
              <a:defRPr sz="1400" b="1"/>
            </a:pPr>
            <a:r>
              <a:rPr lang="en-US" sz="1400" b="1"/>
              <a:t>日本全终端销售（万美元）</a:t>
            </a:r>
          </a:p>
        </c:rich>
      </c:tx>
      <c:overlay val="0"/>
    </c:title>
    <c:plotArea>
      <c:layout/>
      <c:barChart>
        <c:barDir val="col"/>
        <c:grouping val="clustered"/>
        <c:varyColors val="0"/>
        <c:ser>
          <c:idx val="0"/>
          <c:order val="0"/>
          <c:tx>
            <c:v>零售端</c:v>
          </c:tx>
          <c:spPr>
            <a:solidFill xmlns:a="http://schemas.openxmlformats.org/drawingml/2006/main">
              <a:srgbClr val="4472C4"/>
            </a:solidFill>
          </c:spPr>
          <c:invertIfNegative val="0"/>
          <c:cat>
            <c:strLit>
              <c:ptCount val="2"/>
              <c:pt idx="0">
                <c:v>2023</c:v>
              </c:pt>
              <c:pt idx="1">
                <c:v>2024</c:v>
              </c:pt>
            </c:strLit>
          </c:cat>
          <c:val>
            <c:numLit>
              <c:formatCode>General</c:formatCode>
              <c:ptCount val="2"/>
              <c:pt idx="0">
                <c:v>1907</c:v>
              </c:pt>
              <c:pt idx="1">
                <c:v>2425</c:v>
              </c:pt>
            </c:numLit>
          </c:val>
        </c:ser>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chart>
</c:chartSpace>
</file>

<file path=word/charts/chart7.xml><?xml version="1.0" encoding="utf-8"?>
<c:chartSpace xmlns:a="http://schemas.openxmlformats.org/drawingml/2006/main" xmlns:c="http://schemas.openxmlformats.org/drawingml/2006/chart">
  <c:date1904 val="0"/>
  <c:chart>
    <c:title>
      <c:tx>
        <c:rich>
          <a:bodyPr xmlns:a="http://schemas.openxmlformats.org/drawingml/2006/main"/>
          <a:lstStyle xmlns:a="http://schemas.openxmlformats.org/drawingml/2006/main"/>
          <a:p xmlns:a="http://schemas.openxmlformats.org/drawingml/2006/main">
            <a:pPr>
              <a:defRPr sz="1400" b="1"/>
            </a:pPr>
            <a:r>
              <a:rPr lang="en-US" sz="1400" b="1"/>
              <a:t>日本全终端销售（万美元）</a:t>
            </a:r>
          </a:p>
        </c:rich>
      </c:tx>
      <c:overlay val="0"/>
    </c:title>
    <c:plotArea>
      <c:layout/>
      <c:barChart>
        <c:barDir val="col"/>
        <c:grouping val="clustered"/>
        <c:varyColors val="0"/>
        <c:ser>
          <c:idx val="0"/>
          <c:order val="0"/>
          <c:tx>
            <c:v>零售端</c:v>
          </c:tx>
          <c:spPr>
            <a:solidFill xmlns:a="http://schemas.openxmlformats.org/drawingml/2006/main">
              <a:srgbClr val="4472C4"/>
            </a:solidFill>
          </c:spPr>
          <c:invertIfNegative val="0"/>
          <c:cat>
            <c:strLit>
              <c:ptCount val="2"/>
              <c:pt idx="0">
                <c:v>2023</c:v>
              </c:pt>
              <c:pt idx="1">
                <c:v>2024</c:v>
              </c:pt>
            </c:strLit>
          </c:cat>
          <c:val>
            <c:numLit>
              <c:formatCode>General</c:formatCode>
              <c:ptCount val="2"/>
              <c:pt idx="0">
                <c:v>1907</c:v>
              </c:pt>
              <c:pt idx="1">
                <c:v>2425</c:v>
              </c:pt>
            </c:numLit>
          </c:val>
        </c:ser>
        <c:ser>
          <c:idx val="1"/>
          <c:order val="1"/>
          <c:tx>
            <c:v>医院端</c:v>
          </c:tx>
          <c:spPr>
            <a:solidFill xmlns:a="http://schemas.openxmlformats.org/drawingml/2006/main">
              <a:srgbClr val="ED7D31"/>
            </a:solidFill>
          </c:spPr>
          <c:invertIfNegative val="0"/>
          <c:cat>
            <c:strLit>
              <c:ptCount val="2"/>
              <c:pt idx="0">
                <c:v>2023</c:v>
              </c:pt>
              <c:pt idx="1">
                <c:v>2024</c:v>
              </c:pt>
            </c:strLit>
          </c:cat>
          <c:val>
            <c:numLit>
              <c:formatCode>General</c:formatCode>
              <c:ptCount val="2"/>
              <c:pt idx="0">
                <c:v>270</c:v>
              </c:pt>
              <c:pt idx="1">
                <c:v>358</c:v>
              </c:pt>
            </c:numLit>
          </c:val>
        </c:ser>
        <c:dLbls>
          <c:showLegendKey val="0"/>
          <c:showVal val="1"/>
          <c:showCatName val="0"/>
          <c:showSerName val="0"/>
          <c:showPercent val="0"/>
        </c:dLbls>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chart>
</c:chartSpace>
</file>

<file path=word/charts/chart8.xml><?xml version="1.0" encoding="utf-8"?>
<c:chartSpace xmlns:a="http://schemas.openxmlformats.org/drawingml/2006/main" xmlns:c="http://schemas.openxmlformats.org/drawingml/2006/chart">
  <c:date1904 val="0"/>
  <c:chart>
    <c:title>
      <c:tx>
        <c:rich>
          <a:bodyPr xmlns:a="http://schemas.openxmlformats.org/drawingml/2006/main"/>
          <a:lstStyle xmlns:a="http://schemas.openxmlformats.org/drawingml/2006/main"/>
          <a:p xmlns:a="http://schemas.openxmlformats.org/drawingml/2006/main">
            <a:pPr>
              <a:defRPr sz="1400" b="1"/>
            </a:pPr>
            <a:r>
              <a:rPr lang="en-US" sz="1400" b="1"/>
              <a:t>三情景三概率与综合分</a:t>
            </a:r>
          </a:p>
        </c:rich>
      </c:tx>
      <c:overlay val="0"/>
    </c:title>
    <c:plotArea>
      <c:layout/>
      <c:barChart>
        <c:barDir val="col"/>
        <c:grouping val="clustered"/>
        <c:varyColors val="0"/>
        <c:ser>
          <c:idx val="0"/>
          <c:order val="0"/>
          <c:tx>
            <c:v>P1 可获批</c:v>
          </c:tx>
          <c:spPr>
            <a:solidFill xmlns:a="http://schemas.openxmlformats.org/drawingml/2006/main">
              <a:srgbClr val="4472C4"/>
            </a:solidFill>
          </c:spPr>
          <c:invertIfNegative val="0"/>
          <c:cat>
            <c:strLit>
              <c:ptCount val="3"/>
              <c:pt idx="0">
                <c:v>基准情景</c:v>
              </c:pt>
              <c:pt idx="1">
                <c:v>2030-09后上市</c:v>
              </c:pt>
              <c:pt idx="2">
                <c:v>4.1挑战成功</c:v>
              </c:pt>
            </c:strLit>
          </c:cat>
          <c:val>
            <c:numLit>
              <c:formatCode>General</c:formatCode>
              <c:ptCount val="3"/>
              <c:pt idx="0">
                <c:v>87</c:v>
              </c:pt>
              <c:pt idx="1">
                <c:v>87</c:v>
              </c:pt>
              <c:pt idx="2">
                <c:v>87</c:v>
              </c:pt>
            </c:numLit>
          </c:val>
        </c:ser>
        <c:ser>
          <c:idx val="1"/>
          <c:order val="1"/>
          <c:tx>
            <c:v>P2 可合法上市</c:v>
          </c:tx>
          <c:spPr>
            <a:solidFill xmlns:a="http://schemas.openxmlformats.org/drawingml/2006/main">
              <a:srgbClr val="ED7D31"/>
            </a:solidFill>
          </c:spPr>
          <c:invertIfNegative val="0"/>
          <c:cat>
            <c:strLit>
              <c:ptCount val="3"/>
              <c:pt idx="0">
                <c:v>基准情景</c:v>
              </c:pt>
              <c:pt idx="1">
                <c:v>2030-09后上市</c:v>
              </c:pt>
              <c:pt idx="2">
                <c:v>4.1挑战成功</c:v>
              </c:pt>
            </c:strLit>
          </c:cat>
          <c:val>
            <c:numLit>
              <c:formatCode>General</c:formatCode>
              <c:ptCount val="3"/>
              <c:pt idx="0">
                <c:v>18</c:v>
              </c:pt>
              <c:pt idx="1">
                <c:v>76</c:v>
              </c:pt>
              <c:pt idx="2">
                <c:v>50</c:v>
              </c:pt>
            </c:numLit>
          </c:val>
        </c:ser>
        <c:ser>
          <c:idx val="2"/>
          <c:order val="2"/>
          <c:tx>
            <c:v>P3 值得做</c:v>
          </c:tx>
          <c:spPr>
            <a:solidFill xmlns:a="http://schemas.openxmlformats.org/drawingml/2006/main">
              <a:srgbClr val="A5A5A5"/>
            </a:solidFill>
          </c:spPr>
          <c:invertIfNegative val="0"/>
          <c:cat>
            <c:strLit>
              <c:ptCount val="3"/>
              <c:pt idx="0">
                <c:v>基准情景</c:v>
              </c:pt>
              <c:pt idx="1">
                <c:v>2030-09后上市</c:v>
              </c:pt>
              <c:pt idx="2">
                <c:v>4.1挑战成功</c:v>
              </c:pt>
            </c:strLit>
          </c:cat>
          <c:val>
            <c:numLit>
              <c:formatCode>General</c:formatCode>
              <c:ptCount val="3"/>
              <c:pt idx="0">
                <c:v>47</c:v>
              </c:pt>
              <c:pt idx="1">
                <c:v>49</c:v>
              </c:pt>
              <c:pt idx="2">
                <c:v>45</c:v>
              </c:pt>
            </c:numLit>
          </c:val>
        </c:ser>
        <c:ser>
          <c:idx val="3"/>
          <c:order val="3"/>
          <c:tx>
            <c:v>立项综合</c:v>
          </c:tx>
          <c:spPr>
            <a:solidFill xmlns:a="http://schemas.openxmlformats.org/drawingml/2006/main">
              <a:srgbClr val="FFC000"/>
            </a:solidFill>
          </c:spPr>
          <c:invertIfNegative val="0"/>
          <c:cat>
            <c:strLit>
              <c:ptCount val="3"/>
              <c:pt idx="0">
                <c:v>基准情景</c:v>
              </c:pt>
              <c:pt idx="1">
                <c:v>2030-09后上市</c:v>
              </c:pt>
              <c:pt idx="2">
                <c:v>4.1挑战成功</c:v>
              </c:pt>
            </c:strLit>
          </c:cat>
          <c:val>
            <c:numLit>
              <c:formatCode>General</c:formatCode>
              <c:ptCount val="3"/>
              <c:pt idx="0">
                <c:v>45</c:v>
              </c:pt>
              <c:pt idx="1">
                <c:v>69</c:v>
              </c:pt>
              <c:pt idx="2">
                <c:v>57</c:v>
              </c:pt>
            </c:numLit>
          </c:val>
        </c:ser>
        <c:dLbls>
          <c:showLegendKey val="0"/>
          <c:showVal val="1"/>
          <c:showCatName val="0"/>
          <c:showSerName val="0"/>
          <c:showPercent val="0"/>
        </c:dLbls>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max val="100"/>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char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OfficeCLI/1.0.149</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2026-09-11T14:58:30Z</dcterms:created>
  <cp:lastModifiedBy>OfficeCLI</cp:lastModifiedBy>
  <dcterms:modified xsi:type="dcterms:W3CDTF">2026-09-11T14:58:30Z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1.0.149</vt:lpwstr>
  </op:property>
  <op:property fmtid="{D5CDD505-2E9C-101B-9397-08002B2CF9AE}" pid="3" name="OfficeCLI.LastModified">
    <vt:lpwstr xmlns:vt="http://schemas.openxmlformats.org/officeDocument/2006/docPropsVTypes">2026-09-11T15:14:22Z</vt:lpwstr>
  </op:property>
</op:Properties>
</file>