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상주자이르네 입주자모집공고문 검토보고서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(AI 1차 스크리닝 — 공고문 조항 및 관계법령 원문 대조)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대상 단지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상주자이르네 (2026000038 입주자모집공고, 공고일 2026.03.09)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배포 대상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상주자이르네 입주예정자협의회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작성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법무법인 ○○○ (검토·서명 전 초안)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작성일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2026.07.16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45309" w:sz="6"/>
          <w:bottom w:val="single" w:color="B45309" w:sz="6"/>
          <w:left w:val="single" w:color="B45309" w:sz="6"/>
          <w:right w:val="single" w:color="B45309" w:sz="6"/>
        </w:pBdr>
        <w:shd w:fill="FFF4E5" w:val="clear"/>
        <w:spacing w:after="100" w:before="100"/>
        <w:ind w:left="100" w:right="100"/>
      </w:pPr>
      <w:r>
        <w:rPr>
          <w:sz w:val="20"/>
          <w:szCs w:val="20"/>
        </w:rPr>
        <w:t xml:space="preserve">본 보고서는 AI(NotebookLM)가 입주자모집공고문 원문과 관계법령 원문(약관의 규제에 관한 법률, 공동주택관리법 등)을 대조하여 작성한 1차 스크리닝 자료입니다. 최종 법률의견이 아니며, 변호사의 최종 검토·서명 전에는 대외 배포용으로 사용할 수 없습니다.</w:t>
      </w:r>
    </w:p>
    <w:p>
      <w:pPr>
        <w:pStyle w:val="Heading1"/>
        <w:spacing w:after="150" w:before="300"/>
      </w:pPr>
      <w:r>
        <w:t xml:space="preserve">1. 대출규제 안내 (공고일 2026.03.09 기준)</w:t>
      </w:r>
    </w:p>
    <w:p>
      <w:pPr>
        <w:spacing w:after="120"/>
      </w:pPr>
      <w:r>
        <w:t xml:space="preserve">대출규제는 오늘 날짜가 아니라 입주자모집공고일(2026.03.09) 시점에 시행 중이던 규제가 적용되는 것이 원칙입니다. 2025.10.15 주택시장 안정화 대책 기준으로 정리하면: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50"/>
      </w:tblGrid>
      <w:tr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대책 항목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적용 여부</w:t>
            </w:r>
          </w:p>
        </w:tc>
        <w:tc>
          <w:tcPr>
            <w:tcW w:type="dxa" w:w="45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</w:rPr>
              <w:t xml:space="preserve">근거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주담대 여신한도 차등화 (6억원 제한)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제외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상주시는 비수도권·비규제지역 — 수도권/규제지역 전용 규제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스트레스 금리 상향 (1.5%→3.0%)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제외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비규제지역은 기존 하한 0.75%~상한 3.0% 유지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전세대출 DSR 반영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제외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수도권·규제지역 1주택자 전세대출에 한정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LTV(주택담보대출비율) 제한</w:t>
            </w:r>
          </w:p>
        </w:tc>
        <w:tc>
          <w:tcPr>
            <w:tcW w:type="dxa" w:w="1400"/>
            <w:shd w:fill="FDF3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</w:rPr>
              <w:t xml:space="preserve">적용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무주택(처분조건부 1주택 포함) 70%, 유주택 60%</w:t>
            </w:r>
          </w:p>
        </w:tc>
      </w:tr>
    </w:tbl>
    <w:p>
      <w:pPr>
        <w:spacing w:after="100" w:before="150"/>
      </w:pPr>
      <w:r>
        <w:rPr>
          <w:b/>
          <w:bCs/>
          <w:color w:val="C00000"/>
        </w:rPr>
        <w:t xml:space="preserve">한계: </w:t>
      </w:r>
      <w:r>
        <w:rPr>
          <w:color w:val="595959"/>
          <w:sz w:val="20"/>
          <w:szCs w:val="20"/>
        </w:rPr>
        <w:t xml:space="preserve">2025.10.15~2026.03.09 사이 추가·수정 대책이 있었는지는 이 노트북 소스만으로는 확인되지 않습니다. 실제 적용 여부는 계약 전 대출 취급은행 확인이 필요합니다.</w:t>
      </w:r>
    </w:p>
    <w:p>
      <w:pPr>
        <w:pStyle w:val="Heading1"/>
        <w:spacing w:after="150" w:before="300"/>
      </w:pPr>
      <w:r>
        <w:t xml:space="preserve">2. 핵심 유의조항 — 개선요구 우선순위 (위험도 높음 5건)</w:t>
      </w:r>
    </w:p>
    <w:p>
      <w:pPr>
        <w:spacing w:after="120"/>
      </w:pPr>
      <w:r>
        <w:t xml:space="preserve">아래 5건은 공고문 조항을 「약관의 규제에 관한 법률」·「공동주택관리법」 원문과 직접 대조한 결과, 무효 소지가 있거나 수분양자에게 일방적으로 불리한 조항입니다.</w:t>
      </w:r>
    </w:p>
    <w:p>
      <w:pPr>
        <w:spacing w:after="80" w:before="260"/>
      </w:pPr>
      <w:r>
        <w:rPr>
          <w:b/>
          <w:bCs/>
          <w:color w:val="C00000"/>
        </w:rPr>
        <w:t xml:space="preserve">⚠ 위험 1  </w:t>
      </w:r>
      <w:r>
        <w:rPr>
          <w:b/>
          <w:bCs/>
        </w:rPr>
        <w:t xml:space="preserve">사업주체가 일방적으로 설계변경을 추진하면서 수분양자 동의를 사전 간주하고, 통보·동의 절차 없이 임의로 인허가를 진행할 수 있도록 규정.</w:t>
      </w:r>
    </w:p>
    <w:p>
      <w:pPr>
        <w:pBdr>
          <w:left w:val="single" w:color="999999" w:sz="12" w:space="8"/>
        </w:pBdr>
        <w:spacing w:after="100" w:before="100"/>
        <w:ind w:left="200"/>
      </w:pPr>
      <w:r>
        <w:rPr>
          <w:i/>
          <w:iCs/>
          <w:color w:val="595959"/>
        </w:rPr>
        <w:t xml:space="preserve">"아파트 현장여건(지질상태, 주변 민원 등)에 따라 공사공법이 변경될 수 있으며, 또한 기능/구조/성능/품질 등 개선 등을 위하여 설계변경이 추진될 수 있으며, 관계법령에서 정하는 경미한 설계변경은 계약자의 동의가 있는 것으로 간주하여 계약자의 동의없이 사업주체가 인·허가를 통해 진행할 수 있습니다."</w:t>
      </w:r>
    </w:p>
    <w:p>
      <w:pPr>
        <w:spacing w:after="40"/>
      </w:pPr>
      <w:r>
        <w:rPr>
          <w:b/>
          <w:bCs/>
          <w:color w:val="1F4E78"/>
        </w:rPr>
        <w:t xml:space="preserve">법적 근거  </w:t>
      </w:r>
      <w:r>
        <w:rPr>
          <w:b/>
          <w:bCs/>
        </w:rPr>
        <w:t xml:space="preserve">약관의 규제에 관한 법률 제10조제1호, 제12조제1호</w:t>
      </w:r>
      <w:r>
        <w:rPr>
          <w:i/>
          <w:iCs/>
          <w:color w:val="595959"/>
        </w:rPr>
        <w:t xml:space="preserve">  (직접적용)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상당한 이유 없이 급부의 내용을 사업자가 일방적으로 결정·변경할 수 있도록 하거나, 고객의 의사표시가 있는 것으로 간주하는 조항은 무효.</w:t>
      </w:r>
    </w:p>
    <w:p>
      <w:pPr>
        <w:spacing w:after="160"/>
      </w:pPr>
      <w:r>
        <w:rPr>
          <w:b/>
          <w:bCs/>
          <w:color w:val="2E7D32"/>
        </w:rPr>
        <w:t xml:space="preserve">권고 개선요구안  </w:t>
      </w:r>
      <w:r>
        <w:t xml:space="preserve">'경미한 설계변경'의 구체적 범위를 명시하도록 요구, 중대한 변경 시 사전 통지·동의 절차 신설 요구</w:t>
      </w:r>
    </w:p>
    <w:p>
      <w:pPr>
        <w:spacing w:after="80" w:before="260"/>
      </w:pPr>
      <w:r>
        <w:rPr>
          <w:b/>
          <w:bCs/>
          <w:color w:val="C00000"/>
        </w:rPr>
        <w:t xml:space="preserve">⚠ 위험 2  </w:t>
      </w:r>
      <w:r>
        <w:rPr>
          <w:b/>
          <w:bCs/>
        </w:rPr>
        <w:t xml:space="preserve">사업주체 귀책범위를 '정부 정책 변경' 등으로 자의적으로 넓게 면책하고, 지체상금 지급의무를 원천 면제하며 이의제기 자체를 금지.</w:t>
      </w:r>
    </w:p>
    <w:p>
      <w:pPr>
        <w:pBdr>
          <w:left w:val="single" w:color="999999" w:sz="12" w:space="8"/>
        </w:pBdr>
        <w:spacing w:after="100" w:before="100"/>
        <w:ind w:left="200"/>
      </w:pPr>
      <w:r>
        <w:rPr>
          <w:i/>
          <w:iCs/>
          <w:color w:val="595959"/>
        </w:rPr>
        <w:t xml:space="preserve">"입주예정일은 공정에 따라 변경될 수 있으며, 공사 중 천재지변, 정부 정책이나 관계 법령의 변경 등 예기치 못한 사유가 발생할 경우 예정된 공사일정 및 입주 시기 등이 지연될 수 있으며, 이 경우 입주 지연에 따른 이의를 제기할 수 없으며, 지체상금은 발생하지 않습니다."</w:t>
      </w:r>
    </w:p>
    <w:p>
      <w:pPr>
        <w:spacing w:after="40"/>
      </w:pPr>
      <w:r>
        <w:rPr>
          <w:b/>
          <w:bCs/>
          <w:color w:val="1F4E78"/>
        </w:rPr>
        <w:t xml:space="preserve">법적 근거  </w:t>
      </w:r>
      <w:r>
        <w:rPr>
          <w:b/>
          <w:bCs/>
        </w:rPr>
        <w:t xml:space="preserve">약관의 규제에 관한 법률 제7조제2호</w:t>
      </w:r>
      <w:r>
        <w:rPr>
          <w:i/>
          <w:iCs/>
          <w:color w:val="595959"/>
        </w:rPr>
        <w:t xml:space="preserve">  (직접적용)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상당한 이유 없이 사업자의 손해배상 범위를 제한하거나, 사업자가 부담할 위험을 고객에게 떠넘기는 조항은 무효.</w:t>
      </w:r>
    </w:p>
    <w:p>
      <w:pPr>
        <w:spacing w:after="160"/>
      </w:pPr>
      <w:r>
        <w:rPr>
          <w:b/>
          <w:bCs/>
          <w:color w:val="2E7D32"/>
        </w:rPr>
        <w:t xml:space="preserve">권고 개선요구안  </w:t>
      </w:r>
      <w:r>
        <w:t xml:space="preserve">사업주체 귀책사유로 인한 지연에 대해서는 지체상금 지급 조항 신설 요구, '이의를 제기할 수 없다' 문구 삭제 요구</w:t>
      </w:r>
    </w:p>
    <w:p>
      <w:pPr>
        <w:spacing w:after="80" w:before="260"/>
      </w:pPr>
      <w:r>
        <w:rPr>
          <w:b/>
          <w:bCs/>
          <w:color w:val="C00000"/>
        </w:rPr>
        <w:t xml:space="preserve">⚠ 위험 3  </w:t>
      </w:r>
      <w:r>
        <w:rPr>
          <w:b/>
          <w:bCs/>
        </w:rPr>
        <w:t xml:space="preserve">향후 할인분양 등 분양조건 변경 시 기존 수분양자의 형평성 문제제기 권리를 사전 차단.</w:t>
      </w:r>
    </w:p>
    <w:p>
      <w:pPr>
        <w:pBdr>
          <w:left w:val="single" w:color="999999" w:sz="12" w:space="8"/>
        </w:pBdr>
        <w:spacing w:after="100" w:before="100"/>
        <w:ind w:left="200"/>
      </w:pPr>
      <w:r>
        <w:rPr>
          <w:i/>
          <w:iCs/>
          <w:color w:val="595959"/>
        </w:rPr>
        <w:t xml:space="preserve">"본 아파트의 판매시점에 따라 향후 분양조건의 차이가 있을 수 있으며, 이에 이의를 제기하실 수 없습니다."</w:t>
      </w:r>
    </w:p>
    <w:p>
      <w:pPr>
        <w:spacing w:after="40"/>
      </w:pPr>
      <w:r>
        <w:rPr>
          <w:b/>
          <w:bCs/>
          <w:color w:val="1F4E78"/>
        </w:rPr>
        <w:t xml:space="preserve">법적 근거  </w:t>
      </w:r>
      <w:r>
        <w:rPr>
          <w:b/>
          <w:bCs/>
        </w:rPr>
        <w:t xml:space="preserve">약관의 규제에 관한 법률 제11조제1호, 제14조제1호</w:t>
      </w:r>
      <w:r>
        <w:rPr>
          <w:i/>
          <w:iCs/>
          <w:color w:val="595959"/>
        </w:rPr>
        <w:t xml:space="preserve">  (유추적용)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법률상 고객의 항변권 등을 상당한 이유 없이 배제·제한하는 조항, 고객에게 부당하게 불리한 소송 제기 금지 조항은 무효.</w:t>
      </w:r>
    </w:p>
    <w:p>
      <w:pPr>
        <w:spacing w:after="160"/>
      </w:pPr>
      <w:r>
        <w:rPr>
          <w:b/>
          <w:bCs/>
          <w:color w:val="2E7D32"/>
        </w:rPr>
        <w:t xml:space="preserve">권고 개선요구안  </w:t>
      </w:r>
      <w:r>
        <w:t xml:space="preserve">동일 사유 대량 발생 시 협의회 차원의 대표 문제제기 절차 확보 필요</w:t>
      </w:r>
    </w:p>
    <w:p>
      <w:pPr>
        <w:spacing w:after="80" w:before="260"/>
      </w:pPr>
      <w:r>
        <w:rPr>
          <w:b/>
          <w:bCs/>
          <w:color w:val="C00000"/>
        </w:rPr>
        <w:t xml:space="preserve">⚠ 위험 4  </w:t>
      </w:r>
      <w:r>
        <w:rPr>
          <w:b/>
          <w:bCs/>
        </w:rPr>
        <w:t xml:space="preserve">수분양자가 사전 확인이 어려운 공용시설에 대해 임의적 설계 하향 변경 가능성을 열어두고 일체의 이의제기를 금지.</w:t>
      </w:r>
    </w:p>
    <w:p>
      <w:pPr>
        <w:pBdr>
          <w:left w:val="single" w:color="999999" w:sz="12" w:space="8"/>
        </w:pBdr>
        <w:spacing w:after="100" w:before="100"/>
        <w:ind w:left="200"/>
      </w:pPr>
      <w:r>
        <w:rPr>
          <w:i/>
          <w:iCs/>
          <w:color w:val="595959"/>
        </w:rPr>
        <w:t xml:space="preserve">"견본주택에서 확인이 곤란한 공용부문의 시설물(공용계단, 지하주차장, 엘리베이터의 용량·속도·탑승위치 등)은 현장여건에 맞게 설계 변경된 최종 주택건설사업계획승인 도면에 준하며, 이로 인해 사업주체 또는 시공사에게 이의를 제기할 수 없습니다."</w:t>
      </w:r>
    </w:p>
    <w:p>
      <w:pPr>
        <w:spacing w:after="40"/>
      </w:pPr>
      <w:r>
        <w:rPr>
          <w:b/>
          <w:bCs/>
          <w:color w:val="1F4E78"/>
        </w:rPr>
        <w:t xml:space="preserve">법적 근거  </w:t>
      </w:r>
      <w:r>
        <w:rPr>
          <w:b/>
          <w:bCs/>
        </w:rPr>
        <w:t xml:space="preserve">약관의 규제에 관한 법률 제10조제1호, 제14조제1호</w:t>
      </w:r>
      <w:r>
        <w:rPr>
          <w:i/>
          <w:iCs/>
          <w:color w:val="595959"/>
        </w:rPr>
        <w:t xml:space="preserve">  (직접적용)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급부 내용을 사업자가 일방적으로 결정·변경할 수 있도록 하는 조항 및 부당한 소송 제기 금지 조항은 무효.</w:t>
      </w:r>
    </w:p>
    <w:p>
      <w:pPr>
        <w:spacing w:after="160"/>
      </w:pPr>
      <w:r>
        <w:rPr>
          <w:b/>
          <w:bCs/>
          <w:color w:val="2E7D32"/>
        </w:rPr>
        <w:t xml:space="preserve">권고 개선요구안  </w:t>
      </w:r>
      <w:r>
        <w:t xml:space="preserve">최종 사업계획승인 도면 사전 공개 요구, 최초 고지 사양 대비 중대한 하향 변경 시 통지 의무화 요구</w:t>
      </w:r>
    </w:p>
    <w:p>
      <w:pPr>
        <w:spacing w:after="80" w:before="260"/>
      </w:pPr>
      <w:r>
        <w:rPr>
          <w:b/>
          <w:bCs/>
          <w:color w:val="C00000"/>
        </w:rPr>
        <w:t xml:space="preserve">⚠ 위험 5  </w:t>
      </w:r>
      <w:r>
        <w:rPr>
          <w:b/>
          <w:bCs/>
        </w:rPr>
        <w:t xml:space="preserve">구조적 설계 결함으로 인한 소음 피해 발생 가능성을 명시하면서도 하자보수·배상 책임을 완전히 면제.</w:t>
      </w:r>
    </w:p>
    <w:p>
      <w:pPr>
        <w:pBdr>
          <w:left w:val="single" w:color="999999" w:sz="12" w:space="8"/>
        </w:pBdr>
        <w:spacing w:after="100" w:before="100"/>
        <w:ind w:left="200"/>
      </w:pPr>
      <w:r>
        <w:rPr>
          <w:i/>
          <w:iCs/>
          <w:color w:val="595959"/>
        </w:rPr>
        <w:t xml:space="preserve">"발코니 확장 세대의 상부세대가 비확장일 경우 상부세대의 배관 일부가 확장세대 상부에 노출되어 이로 인한 소음이 발생할 수 있으며 이로 인하여 사업주체 또는 시공사에 이의를 제기할 수 없습니다."</w:t>
      </w:r>
    </w:p>
    <w:p>
      <w:pPr>
        <w:spacing w:after="40"/>
      </w:pPr>
      <w:r>
        <w:rPr>
          <w:b/>
          <w:bCs/>
          <w:color w:val="1F4E78"/>
        </w:rPr>
        <w:t xml:space="preserve">법적 근거  </w:t>
      </w:r>
      <w:r>
        <w:rPr>
          <w:b/>
          <w:bCs/>
        </w:rPr>
        <w:t xml:space="preserve">약관의 규제에 관한 법률 제7조제3호, 공동주택관리법 제36조제1항</w:t>
      </w:r>
      <w:r>
        <w:rPr>
          <w:i/>
          <w:iCs/>
          <w:color w:val="595959"/>
        </w:rPr>
        <w:t xml:space="preserve">  (직접적용)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상당한 이유 없이 사업자의 담보책임을 배제·제한하는 조항은 무효이며, 사업주체는 공동주택 하자에 대해 분양에 따른 담보책임을 짐.</w:t>
      </w:r>
    </w:p>
    <w:p>
      <w:pPr>
        <w:spacing w:after="160"/>
      </w:pPr>
      <w:r>
        <w:rPr>
          <w:b/>
          <w:bCs/>
          <w:color w:val="2E7D32"/>
        </w:rPr>
        <w:t xml:space="preserve">권고 개선요구안  </w:t>
      </w:r>
      <w:r>
        <w:t xml:space="preserve">배관 노출 소음을 하자보수 대상에서 일률 배제하는 조항 삭제 요구, 저감시공(방음자재 등) 대안 요구</w:t>
      </w:r>
    </w:p>
    <w:p>
      <w:pPr>
        <w:pStyle w:val="Heading1"/>
        <w:spacing w:after="150" w:before="300"/>
      </w:pPr>
      <w:r>
        <w:t xml:space="preserve">3. 추가 검토필요 조항 (9건)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아래 9건은 즉시 무효를 다투기보다, 협의회 차원의 서면 질의·개선요구 대상으로 정리했습니다.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마감재/사양 변경  —  </w:t>
      </w:r>
      <w:r>
        <w:t xml:space="preserve">품절·단종 시 '동급 이상' 대체는 표준이나, 사전 공지·동의 절차가 빠져 있어 임의 하향 시공의 여지가 있음.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계약 해제/위약금  —  </w:t>
      </w:r>
      <w:r>
        <w:t xml:space="preserve">해제 시 위약금 외에 대납이자 전액까지 추가 부담시켜 이중 페널티 소지.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유상옵션(발코니확장 등)  —  </w:t>
      </w:r>
      <w:r>
        <w:t xml:space="preserve">중도금 납부 이후 옵션 해제·변경을 시공사 동의 없이 전면 금지.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추가 선택품목  —  </w:t>
      </w:r>
      <w:r>
        <w:t xml:space="preserve">품질·사양 불만이 있어도 교체·해약 요구 자체를 원천 금지.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조경 하자책임  —  </w:t>
      </w:r>
      <w:r>
        <w:t xml:space="preserve">조경수 고사 등 원인(시공불량 vs 관리소홀) 불명확한 상태에서 시공사 책임을 일률 면제.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중도금 대출 중단  —  </w:t>
      </w:r>
      <w:r>
        <w:t xml:space="preserve">계약자 귀책 대출중단 시 최고·유예기간 없이 즉시 계약해제 가능 조항.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환경권 침해 수인조항 (지붕층 시설물)  —  </w:t>
      </w:r>
      <w:r>
        <w:t xml:space="preserve">일조·조망·소음·사생활 침해 가능성을 언급하며 이의제기 배제.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환경권 침해 수인조항 (단지 내 도로·시설 인접)  —  </w:t>
      </w:r>
      <w:r>
        <w:t xml:space="preserve">인접세대의 소음·진동·조망 저해 등을 일률적으로 수인하도록 고지.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발코니 확장 단차  —  </w:t>
      </w:r>
      <w:r>
        <w:t xml:space="preserve">인접·상부세대 비확장 시 발생하는 시공상 단차·마감 불량 관련 이의제기 배제.</w:t>
      </w:r>
    </w:p>
    <w:p>
      <w:pPr>
        <w:pStyle w:val="Heading1"/>
        <w:spacing w:after="150" w:before="300"/>
      </w:pPr>
      <w:r>
        <w:t xml:space="preserve">4. 결론 및 변호사 검토 요청사항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위 5건(핵심)은 약관규제법 위반 소지가 뚜렷하여 시행사에 서면으로 조항 삭제·수정을 요구할 근거가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9건(추가 검토)은 즉시 무효 주장보다 협의회 명의 질의서로 구체적 적용 범위·절차를 먼저 확인하는 것을 권고합니다.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대출규제는 개별 세대의 주택 보유 현황에 따라 LTV가 달라지므로, 계약자별 대출 가능 여부는 은행 사전상담을 안내하는 것이 필요합니다.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1차 스크리닝에서 다루지 않은 조항(청약자격, 계약금/중도금 납부방식 등 통상적 조건)은 별도 이상 소견이 없어 생략하였습니다.</w:t>
      </w:r>
    </w:p>
    <w:p>
      <w:pPr>
        <w:pStyle w:val="Heading1"/>
        <w:spacing w:after="150" w:before="300"/>
      </w:pPr>
      <w:r>
        <w:t xml:space="preserve">5. 변호사 검토·서명란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검토 변호사</w:t>
            </w:r>
          </w:p>
        </w:tc>
        <w:tc>
          <w:tcPr>
            <w:tcW w:type="dxa" w:w="69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검토일</w:t>
            </w:r>
          </w:p>
        </w:tc>
        <w:tc>
          <w:tcPr>
            <w:tcW w:type="dxa" w:w="69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최종 의견</w:t>
            </w:r>
          </w:p>
        </w:tc>
        <w:tc>
          <w:tcPr>
            <w:tcW w:type="dxa" w:w="69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서명</w:t>
            </w:r>
          </w:p>
        </w:tc>
        <w:tc>
          <w:tcPr>
            <w:tcW w:type="dxa" w:w="69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2026-07-16T06:53:46.730Z</dcterms:created>
  <dcterms:modified xsi:type="dcterms:W3CDTF">2026-07-16T06:53:46.732Z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