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pBdr>
          <w:bottom w:val="single" w:color="C89B3C" w:sz="32"/>
        </w:pBdr>
        <w:shd w:fill="1F3864" w:val="clear"/>
        <w:spacing w:after="0" w:before="0"/>
      </w:pPr>
      <w:r>
        <w:t xml:space="preserve">  </w:t>
      </w:r>
    </w:p>
    <w:p>
      <w:pPr>
        <w:spacing w:after="60" w:before="300"/>
      </w:pPr>
      <w:r>
        <w:rPr>
          <w:b/>
          <w:bCs/>
          <w:color w:val="1F3864"/>
          <w:sz w:val="46"/>
          <w:szCs w:val="46"/>
        </w:rPr>
        <w:t xml:space="preserve">상주자이르네 입주자모집공고문</w:t>
      </w:r>
    </w:p>
    <w:p>
      <w:pPr>
        <w:spacing w:after="240"/>
      </w:pPr>
      <w:r>
        <w:rPr>
          <w:b/>
          <w:bCs/>
          <w:color w:val="1F3864"/>
          <w:sz w:val="46"/>
          <w:szCs w:val="46"/>
        </w:rPr>
        <w:t xml:space="preserve">상세 검토보고서</w:t>
      </w:r>
    </w:p>
    <w:p>
      <w:pPr>
        <w:spacing w:after="300"/>
      </w:pPr>
      <w:r>
        <w:rPr>
          <w:color w:val="595959"/>
          <w:sz w:val="24"/>
          <w:szCs w:val="24"/>
        </w:rPr>
        <w:t xml:space="preserve">건축·구조·소방·입지·계약조항 종합분석</w:t>
      </w:r>
      <w:r>
        <w:rPr>
          <w:i/>
          <w:iCs/>
          <w:color w:val="595959"/>
          <w:sz w:val="24"/>
          <w:szCs w:val="24"/>
        </w:rPr>
        <w:t xml:space="preserve">  |  AI 1차 스크리닝, 관계법령 원문·공공데이터 대조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대상 단지</w:t>
            </w:r>
          </w:p>
        </w:tc>
        <w:tc>
          <w:tcPr>
            <w:tcW w:type="dxa" w:w="7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상주자이르네 (2026000038, 공고일 2026.03.09 / 사업계획승인일 2022.05.16)</w:t>
            </w:r>
          </w:p>
        </w:tc>
      </w:tr>
      <w:t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소재지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경상북도 상주시 함창읍 윤직리 840번지 일원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배포 대상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상주자이르네 입주예정자협의회</w:t>
            </w:r>
          </w:p>
        </w:tc>
      </w:tr>
      <w:t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작성일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2026.07.16</w:t>
            </w:r>
          </w:p>
        </w:tc>
      </w:tr>
    </w:tbl>
    <w:p>
      <w:pPr>
        <w:spacing w:after="0" w:before="260"/>
      </w:pPr>
      <w:r>
        <w:t xml:space="preserve"/>
      </w:r>
    </w:p>
    <w:p>
      <w:pPr>
        <w:pBdr>
          <w:top w:val="single" w:color="C89B3C" w:sz="6"/>
          <w:bottom w:val="single" w:color="C89B3C" w:sz="6"/>
          <w:left w:val="single" w:color="C89B3C" w:sz="6"/>
          <w:right w:val="single" w:color="C89B3C" w:sz="6"/>
        </w:pBdr>
        <w:shd w:fill="FFF4E5" w:val="clear"/>
        <w:spacing w:after="100" w:before="100"/>
        <w:ind w:left="100" w:right="100"/>
      </w:pPr>
      <w:r>
        <w:rPr>
          <w:sz w:val="19"/>
          <w:szCs w:val="19"/>
        </w:rPr>
        <w:t xml:space="preserve">본 보고서는 입주자모집공고문 원문, 관계법령 원문(약관의 규제에 관한 법률·공동주택관리법 등), 국토교통부·나이스·카카오 공공데이터를 대조하여 작성한 1차 검토자료입니다. 최종 법률의견을 대체하지 않으며, 구조·소방 등 전문분야는 별도 기술자문을 권고합니다.</w:t>
      </w:r>
    </w:p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한눈에 보기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본 단지는 2022.05.16 사업계획승인을 받아, 이후 강화된 건축·소방 기준 다수가 원칙적으로 소급 적용되지 않습니다. 다만 소급 여부와 무관하게 협의회가 시행사에 확인·개선을 요구할 수 있는 사안이 다수 확인됩니다.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가장 시급한 확인사항은 ① 구조형식(무량판 여부) 미기재, ② 근린생활시설(106동 등 인접) 업종·설비 제약 부재, ③ 커뮤니티시설 입주 초기 미운영 가능성입니다.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계약조항 중 5건은 「약관의 규제에 관한 법률」 조문에 직접 저촉되는 것으로 판단되어 삭제·수정을 요구할 근거가 있습니다.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대출규제는 공고일(2026.03.09) 기준 LTV만 적용(무주택 70%/유주택 60%)되며, 6억 한도·전세대출 DSR 등은 비규제지역이라 제외됩니다.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에너지효율 1+등급, 전기차충전 58대(법정 의무비율 이상)는 양호한 요소로 확인되어 함께 안내드립니다.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입지 조사 결과 반경 1km 내 초·중·고 6개교, 대형마트·편의점·병원 등 생활 인프라는 양호하나, 장례식장 2개소가 인근에 위치해 참고가 필요합니다.</w:t>
      </w:r>
    </w:p>
    <w:p>
      <w:pPr>
        <w:shd w:fill="F7F3EA" w:val="clear"/>
        <w:spacing w:after="100" w:before="120"/>
        <w:ind w:left="100" w:right="100"/>
      </w:pPr>
      <w:r>
        <w:rPr>
          <w:b/>
          <w:bCs/>
          <w:color w:val="1F3864"/>
          <w:sz w:val="21"/>
          <w:szCs w:val="21"/>
        </w:rPr>
        <w:t xml:space="preserve">계약조항 검토 결과 (총 17건)</w:t>
      </w:r>
    </w:p>
    <w:p>
      <w:r>
        <w:drawing>
          <wp:inline distT="0" distB="0" distL="0" distR="0">
            <wp:extent cx="53340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b/>
          <w:bCs/>
          <w:color w:val="595959"/>
          <w:sz w:val="18"/>
          <w:szCs w:val="18"/>
        </w:rPr>
        <w:t xml:space="preserve">[그림 1] 계약조항 검토 결과 분포</w:t>
      </w:r>
      <w:r>
        <w:rPr>
          <w:i/>
          <w:iCs/>
          <w:color w:val="999999"/>
          <w:sz w:val="18"/>
          <w:szCs w:val="18"/>
        </w:rPr>
        <w:t xml:space="preserve">   자료: 본 검토보고서 자체 분석</w:t>
      </w:r>
    </w:p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01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대출규제 안내 (공고일 2026.03.09 기준)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/>
      </w:pPr>
      <w:r>
        <w:t xml:space="preserve">대출규제는 오늘 날짜가 아니라 입주자모집공고일 시점에 시행 중이던 규제가 적용되는 것이 원칙입니다.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50"/>
      </w:tblGrid>
      <w:tr>
        <w:tc>
          <w:tcPr>
            <w:tcW w:type="dxa" w:w="3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대책 항목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적용 여부</w:t>
            </w:r>
          </w:p>
        </w:tc>
        <w:tc>
          <w:tcPr>
            <w:tcW w:type="dxa" w:w="45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3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주담대 여신한도 차등화 (6억원 제한)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제외</w:t>
            </w:r>
          </w:p>
        </w:tc>
        <w:tc>
          <w:tcPr>
            <w:tcW w:type="dxa" w:w="4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상주시는 비수도권·비규제지역 — 수도권/규제지역 전용 규제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스트레스 금리 상향 (1.5%→3.0%)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제외</w:t>
            </w:r>
          </w:p>
        </w:tc>
        <w:tc>
          <w:tcPr>
            <w:tcW w:type="dxa" w:w="4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비규제지역은 기존 하한 0.75%~상한 3.0% 유지</w:t>
            </w:r>
          </w:p>
        </w:tc>
      </w:tr>
      <w:tr>
        <w:tc>
          <w:tcPr>
            <w:tcW w:type="dxa" w:w="3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전세대출 DSR 반영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제외</w:t>
            </w:r>
          </w:p>
        </w:tc>
        <w:tc>
          <w:tcPr>
            <w:tcW w:type="dxa" w:w="4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수도권·규제지역 1주택자 전세대출에 한정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LTV(주택담보대출비율) 제한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적용</w:t>
            </w:r>
          </w:p>
        </w:tc>
        <w:tc>
          <w:tcPr>
            <w:tcW w:type="dxa" w:w="4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무주택(처분조건부 1주택 포함) 70%, 유주택 60%</w:t>
            </w:r>
          </w:p>
        </w:tc>
      </w:tr>
    </w:tbl>
    <w:p>
      <w:pPr>
        <w:spacing w:after="200" w:before="60"/>
      </w:pPr>
      <w:r>
        <w:rPr>
          <w:b/>
          <w:bCs/>
          <w:color w:val="595959"/>
          <w:sz w:val="18"/>
          <w:szCs w:val="18"/>
        </w:rPr>
        <w:t xml:space="preserve">[그림 2] 공고일(2026.03.09) 기준 대출규제 적용 여부</w:t>
      </w:r>
      <w:r>
        <w:rPr>
          <w:i/>
          <w:iCs/>
          <w:color w:val="999999"/>
          <w:sz w:val="18"/>
          <w:szCs w:val="18"/>
        </w:rPr>
        <w:t xml:space="preserve">   자료: 2025.10.15 주택시장 안정화 대책 원문 대조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 의견   </w:t>
      </w:r>
      <w:r>
        <w:t xml:space="preserve">공고문 자체에는 대출규제 기준일·LTV 수치가 명시되어 있지 않고 “정부정책 변경 시 계약자 책임하에 조달”이라는 포괄조항만 있습니다. 계약 전 반드시 취급은행에 개별 대출한도를 재확인하시길 권고드립니다.</w:t>
      </w:r>
    </w:p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02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건축·구조 — 사업계획승인 이후 기준 변화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/>
      </w:pPr>
      <w:r>
        <w:rPr>
          <w:b/>
          <w:bCs/>
          <w:color w:val="1F3864"/>
        </w:rPr>
        <w:t xml:space="preserve">사업계획승인일  </w:t>
      </w:r>
      <w:r>
        <w:t xml:space="preserve">2022.05.16 (공고문 명시)</w:t>
      </w:r>
    </w:p>
    <w:p>
      <w:pPr>
        <w:spacing w:after="60"/>
      </w:pPr>
      <w:r>
        <w:rPr>
          <w:b/>
          <w:bCs/>
          <w:color w:val="1F3864"/>
        </w:rPr>
        <w:t xml:space="preserve">강화된 내용(승인 이후)  </w:t>
      </w:r>
      <w:r>
        <w:t xml:space="preserve">무량판 구조가 '특수구조 건축물'로 지정되어 구조 심의·감리중간보고서 의무 등 안전관리가 강화됨 (건축법 시행령 개정, 2023.09.12 시행)</w:t>
      </w:r>
    </w:p>
    <w:p>
      <w:pPr>
        <w:spacing w:after="60"/>
      </w:pPr>
      <w:r>
        <w:rPr>
          <w:b/>
          <w:bCs/>
          <w:color w:val="1F3864"/>
        </w:rPr>
        <w:t xml:space="preserve">그러나  </w:t>
      </w:r>
      <w:r>
        <w:t xml:space="preserve">법령 불소급 원칙상, 승인 당시 적법하게 설계되었다면 현행 기준으로 전면 재설계를 요구할 수 없습니다.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“주요 구조체는 정밀구조계산에 따라 최적화 될 수 있으며, 이에 따라 내력벽은 비내력벽으로 변경될 수 있습니다. 지하주차장 구조는 공사 여건에 따라 PC 또는 데크로 변경될 수 있으며, 피트(PIT)공간의 구획, 높이 및 면적, 비내력벽의 두께 등이 변경될 수 있습니다.”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 의견   </w:t>
      </w:r>
      <w:r>
        <w:t xml:space="preserve">공고문에 구조형식(벽식/무량판 등)이 명시되어 있지 않고, 오히려 '내력벽→비내력벽 변경 가능'이라는 포괄적 변경 여지만 열려 있습니다. 최근 사회적으로 안전 우려가 큰 사안인 만큼 협의회 명의로 시행사에 구조형식 및 구조계산서(또는 구조 심의결과) 공개를 요청하실 것을 권고드립니다.</w:t>
      </w:r>
    </w:p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03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내진설계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“본 아파트는 「건축법」 제48조 제3항 및 제48조의3 제2항에 따른 내진성능 확보 여부와 내진 능력 공개에 의거 메르칼리 진도 등급을 기준으로 내진능력을 공개합니다. 내진중요도 I등급, Ⅶ등급”</w:t>
      </w:r>
    </w:p>
    <w:p>
      <w:pPr>
        <w:spacing w:after="60"/>
      </w:pPr>
      <w:r>
        <w:rPr>
          <w:b/>
          <w:bCs/>
          <w:color w:val="1F3864"/>
        </w:rPr>
        <w:t xml:space="preserve">강화된 내용(승인 이후)  </w:t>
      </w:r>
      <w:r>
        <w:t xml:space="preserve">국토교통부가 내진설계 일반기준(KDS 17 10 00)을 2024.03.21 개정 — 주로 기계설비 내진 보완이 중심이며, 구조체 자체 기준의 전면 강화 여부는 추가 확인이 필요합니다.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 의견   </w:t>
      </w:r>
      <w:r>
        <w:t xml:space="preserve">내진설계는 구조 전문분야로 정확한 적정성 판단에는 구조기술사 자문이 필요합니다. 협의회 차원에서 '내진성능 확인서' 및 설계 당시 적용 기준(KDS 버전)을 시행사에 요청하실 것을 권고드립니다.</w:t>
      </w:r>
    </w:p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04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층간소음·바닥충격음 차단성능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“1. 경량충격음 차단성능 ★★★★   2. 중량충격음 차단성능 ★★★”</w:t>
      </w:r>
    </w:p>
    <w:p>
      <w:pPr>
        <w:spacing w:after="60"/>
      </w:pPr>
      <w:r>
        <w:rPr>
          <w:b/>
          <w:bCs/>
          <w:color w:val="1F3864"/>
        </w:rPr>
        <w:t xml:space="preserve">정책 변화  </w:t>
      </w:r>
      <w:r>
        <w:t xml:space="preserve">2023.12.12 국토부 '기준 미달 시 준공 불허'로 층간소음 정책 패러다임 전환. 다만 기존 승인단지는 준공 불허 대상에서 제외되고 바닥방음 보강지원 사업으로 대응합니다.</w:t>
      </w:r>
    </w:p>
    <w:p>
      <w:pPr>
        <w:spacing w:after="60"/>
      </w:pPr>
      <w:r>
        <w:rPr>
          <w:b/>
          <w:bCs/>
          <w:color w:val="1F3864"/>
        </w:rPr>
        <w:t xml:space="preserve">우리 단지 해당여부  </w:t>
      </w:r>
      <w:r>
        <w:t xml:space="preserve">사업계획승인일(2022.05.16)이 정책 발표(2023.12.12)보다 앞서므로, 강화된 기준의 법적 강제 대상은 아닙니다.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 의견   </w:t>
      </w:r>
      <w:r>
        <w:t xml:space="preserve">법적 강제 대상이 아니라는 점은 명확하나, 중량충격음 ★★★(4단계 중 낮은 편)은 입주 후 층간소음 민원의 실질적 원인이 될 수 있습니다. ① 정확한 성적서(dB 수치) 공개, ② 차음재 성능 상향시공 요청, ③ 바닥방음 보강지원 사업 활용 가능성 확인을 권고드립니다.</w:t>
      </w:r>
    </w:p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05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소방시설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“최초 사업계획승인일이 2022년 5월 16일로 소방내진설계가 적용됩니다. 스프링클러 배관 관경 및 기준 개수 등 소화 시설물의 기준은 수리계산에 의해 설계도면과 다르게 시공될 수 있습니다.”</w:t>
      </w:r>
    </w:p>
    <w:p>
      <w:pPr>
        <w:spacing w:after="60"/>
      </w:pPr>
      <w:r>
        <w:rPr>
          <w:b/>
          <w:bCs/>
          <w:color w:val="1F3864"/>
        </w:rPr>
        <w:t xml:space="preserve">강화된 내용(승인 이후)  </w:t>
      </w:r>
      <w:r>
        <w:t xml:space="preserve">연립·다세대주택 간이스프링클러 설치 의무 확대 (2024.12.01 시행) — 연립·다세대 대상이며, 아파트인 상주자이르네의 직접 해당 여부는 추가 확인 필요.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 의견   </w:t>
      </w:r>
      <w:r>
        <w:t xml:space="preserve">ESS 화재안전기준 강화 등 최신 소방 이슈는 확정적 근거자료를 확보하지 못했습니다. 협의회 명의로 소방시설 완비증명서 및 화재안전기준 적용판을 시행사에 정식 요청하실 것을 권고드리며, 저희도 추가로 확인하겠습니다.</w:t>
      </w:r>
    </w:p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06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전기차 충전시설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“전기차 충전시스템은 총 58개(급속 2대, 완속 56대)설치되며, 주차장의 위치 및 구조에 따라 배치 위치는 달라질 수 있습니다.”</w:t>
      </w:r>
    </w:p>
    <w:p>
      <w:pPr>
        <w:spacing w:after="60"/>
      </w:pPr>
      <w:r>
        <w:rPr>
          <w:b/>
          <w:bCs/>
          <w:color w:val="1F3864"/>
        </w:rPr>
        <w:t xml:space="preserve">법정 기준  </w:t>
      </w:r>
      <w:r>
        <w:t xml:space="preserve">2022.01.28 시행 개정법상 신축 아파트(100세대 이상)는 총 주차대수의 5% 이상 설치 의무. 총 820세대 기준 최소 41대 이상 필요.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 의견   </w:t>
      </w:r>
      <w:r>
        <w:t xml:space="preserve">58대는 법정 의무비율(약 7.1%)을 상회하는 양호한 수준입니다. 다만 배치 위치가 유동적이므로 준공 시 실제 위치를 확인하시길 권고드립니다.</w:t>
      </w:r>
    </w:p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07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에너지절약설계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“건축물 에너지효율등급 예비인증서 인증등급 1+등급 / 단열조치 준수(가목) 적용 「건축물의 에너지절약설계기준」 제6조제1호에 의한 단열조치”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 의견   </w:t>
      </w:r>
      <w:r>
        <w:t xml:space="preserve">에너지효율 1+등급은 상위권에 해당하며 관리비 절감에 실질적으로 도움이 되는 긍정적 요소입니다. 준공 시 본인증 등급이 예비인증과 동일한지만 확인하시면 됩니다.</w:t>
      </w:r>
    </w:p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08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입지·생활 인프라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8-1. 주변 편의시설 (카카오맵 기준, 반경 1km)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50"/>
      </w:tblGrid>
      <w:tr>
        <w:tc>
          <w:tcPr>
            <w:tcW w:type="dxa" w:w="2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개소</w:t>
            </w:r>
          </w:p>
        </w:tc>
        <w:tc>
          <w:tcPr>
            <w:tcW w:type="dxa" w:w="63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대표 시설 (최단거리)</w:t>
            </w:r>
          </w:p>
        </w:tc>
      </w:tr>
      <w:t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대형마트</w:t>
            </w:r>
          </w:p>
        </w:tc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함창농협 하나로마트 (818m)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편의점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GS25 상주함창LH점 (272m)</w:t>
            </w:r>
          </w:p>
        </w:tc>
      </w:tr>
      <w:t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어린이집/유치원</w:t>
            </w:r>
          </w:p>
        </w:tc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함창가온어린이집 (223m)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병원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함창치과의원 (599m)</w:t>
            </w:r>
          </w:p>
        </w:tc>
      </w:tr>
      <w:t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약국</w:t>
            </w:r>
          </w:p>
        </w:tc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중앙약국 (690m)</w:t>
            </w:r>
          </w:p>
        </w:tc>
      </w:tr>
    </w:tbl>
    <w:p>
      <w:pPr>
        <w:spacing w:after="200" w:before="60"/>
      </w:pPr>
      <w:r>
        <w:rPr>
          <w:b/>
          <w:bCs/>
          <w:color w:val="595959"/>
          <w:sz w:val="18"/>
          <w:szCs w:val="18"/>
        </w:rPr>
        <w:t xml:space="preserve">[그림 3] 반경 1km 내 생활 편의시설</w:t>
      </w:r>
      <w:r>
        <w:rPr>
          <w:i/>
          <w:iCs/>
          <w:color w:val="999999"/>
          <w:sz w:val="18"/>
          <w:szCs w:val="18"/>
        </w:rPr>
        <w:t xml:space="preserve">   자료: 카카오맵 로컬 API (2026.07.16 조회)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 의견   </w:t>
      </w:r>
      <w:r>
        <w:t xml:space="preserve">장례식장 2개소(삼성장례컨설팅 729m, 중앙장례식장 955m)가 반경 1km 내 확인됩니다. 법적 하자는 아니나 실거주 관점에서 참고하실 사항으로 안내드립니다.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8-2. 학군</w:t>
      </w:r>
    </w:p>
    <w:p>
      <w:pPr>
        <w:spacing w:after="120"/>
      </w:pPr>
      <w:r>
        <w:t xml:space="preserve">NEIS(교육정보 개방포털) 공식 확인 결과 및 카카오맵 인접 학교입니다. 학업성취도·서열 데이터는 정책상 공식 비공개이며, 아래는 위치·학교급 등 객관적 사실만 포함합니다.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3150"/>
      </w:tblGrid>
      <w:tr>
        <w:tc>
          <w:tcPr>
            <w:tcW w:type="dxa" w:w="1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학교급</w:t>
            </w:r>
          </w:p>
        </w:tc>
        <w:tc>
          <w:tcPr>
            <w:tcW w:type="dxa" w:w="4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학교명</w:t>
            </w:r>
          </w:p>
        </w:tc>
        <w:tc>
          <w:tcPr>
            <w:tcW w:type="dxa" w:w="3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초등학교</w:t>
            </w:r>
          </w:p>
        </w:tc>
        <w:tc>
          <w:tcPr>
            <w:tcW w:type="dxa" w:w="4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함창초등학교 / 함창중앙초등학교</w:t>
            </w:r>
          </w:p>
        </w:tc>
        <w:tc>
          <w:tcPr>
            <w:tcW w:type="dxa" w:w="3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NEIS 공식 확인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중학교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함창중학교 / 상지여자중학교</w:t>
            </w:r>
          </w:p>
        </w:tc>
        <w:tc>
          <w:tcPr>
            <w:tcW w:type="dxa" w:w="3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NEIS 공식 확인 / 카카오맵 394m</w:t>
            </w:r>
          </w:p>
        </w:tc>
      </w:tr>
      <w:tr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고등학교</w:t>
            </w:r>
          </w:p>
        </w:tc>
        <w:tc>
          <w:tcPr>
            <w:tcW w:type="dxa" w:w="4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함창고등학교 / 상지미래경영고등학교</w:t>
            </w:r>
          </w:p>
        </w:tc>
        <w:tc>
          <w:tcPr>
            <w:tcW w:type="dxa" w:w="3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NEIS 공식 확인 / 카카오맵 399m</w:t>
            </w:r>
          </w:p>
        </w:tc>
      </w:tr>
    </w:tbl>
    <w:p>
      <w:pPr>
        <w:spacing w:after="200" w:before="60"/>
      </w:pPr>
      <w:r>
        <w:rPr>
          <w:b/>
          <w:bCs/>
          <w:color w:val="595959"/>
          <w:sz w:val="18"/>
          <w:szCs w:val="18"/>
        </w:rPr>
        <w:t xml:space="preserve">[그림 4] 함창읍 소재 초·중·고 현황</w:t>
      </w:r>
      <w:r>
        <w:rPr>
          <w:i/>
          <w:iCs/>
          <w:color w:val="999999"/>
          <w:sz w:val="18"/>
          <w:szCs w:val="18"/>
        </w:rPr>
        <w:t xml:space="preserve">   자료: NEIS 교육정보 개방포털 + 카카오맵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8-3. 인근 시세 (국토부 실거래가, 2026.01~06 함창읍)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900"/>
        <w:gridCol w:w="2450"/>
      </w:tblGrid>
      <w:tr>
        <w:tc>
          <w:tcPr>
            <w:tcW w:type="dxa" w:w="3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단지명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준공연도</w:t>
            </w:r>
          </w:p>
        </w:tc>
        <w:tc>
          <w:tcPr>
            <w:tcW w:type="dxa" w:w="19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전용면적</w:t>
            </w:r>
          </w:p>
        </w:tc>
        <w:tc>
          <w:tcPr>
            <w:tcW w:type="dxa" w:w="24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거래가</w:t>
            </w:r>
          </w:p>
        </w:tc>
      </w:tr>
      <w:tr>
        <w:tc>
          <w:tcPr>
            <w:tcW w:type="dxa" w:w="3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상주함창엘에이치천년나무2단지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2016</w:t>
            </w:r>
          </w:p>
        </w:tc>
        <w:tc>
          <w:tcPr>
            <w:tcW w:type="dxa" w:w="1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67.86㎡</w:t>
            </w:r>
          </w:p>
        </w:tc>
        <w:tc>
          <w:tcPr>
            <w:tcW w:type="dxa" w:w="24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2.8억~2.9억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상주함창엘에이치천년나무2단지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2016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74.94㎡</w:t>
            </w:r>
          </w:p>
        </w:tc>
        <w:tc>
          <w:tcPr>
            <w:tcW w:type="dxa" w:w="2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2.6억</w:t>
            </w:r>
          </w:p>
        </w:tc>
      </w:tr>
      <w:tr>
        <w:tc>
          <w:tcPr>
            <w:tcW w:type="dxa" w:w="3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녹원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1993</w:t>
            </w:r>
          </w:p>
        </w:tc>
        <w:tc>
          <w:tcPr>
            <w:tcW w:type="dxa" w:w="1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84.29㎡</w:t>
            </w:r>
          </w:p>
        </w:tc>
        <w:tc>
          <w:tcPr>
            <w:tcW w:type="dxa" w:w="24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0.73억</w:t>
            </w:r>
          </w:p>
        </w:tc>
      </w:tr>
    </w:tbl>
    <w:p>
      <w:pPr>
        <w:spacing w:after="200" w:before="60"/>
      </w:pPr>
      <w:r>
        <w:rPr>
          <w:b/>
          <w:bCs/>
          <w:color w:val="595959"/>
          <w:sz w:val="18"/>
          <w:szCs w:val="18"/>
        </w:rPr>
        <w:t xml:space="preserve">[그림 5] 함창읍 아파트 실거래 현황</w:t>
      </w:r>
      <w:r>
        <w:rPr>
          <w:i/>
          <w:iCs/>
          <w:color w:val="999999"/>
          <w:sz w:val="18"/>
          <w:szCs w:val="18"/>
        </w:rPr>
        <w:t xml:space="preserve">   자료: 국토교통부 실거래가 공개시스템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 의견   </w:t>
      </w:r>
      <w:r>
        <w:t xml:space="preserve">함창읍 내 가장 최근 준공 단지(2016년 천년나무2단지)와 비교 시, 신축·평면·커뮤니티 시설 수준을 감안한 분양가 적정성 판단에 참고하실 수 있습니다. 정확한 감정은 공인중개사·감정평가사 자문을 권고드립니다.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8-4. 커뮤니티시설 운영시기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“CLUB XIAN은 입주지정기간 경과 후 관리주체에서 운영하게 되며... 커뮤니티센터에는 운동기구가 설치되나, 운동기구는 준공 후 입주지정기간이 종료된 이후 설치 될 수도 있음을 알려드립니다.”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 의견   </w:t>
      </w:r>
      <w:r>
        <w:t xml:space="preserve">피트니스·골프연습장·사우나 등 CLUB XIAN 시설은 입주와 동시 운영이 아니라 '입주지정기간 경과 후' 순차 운영되며, 운동기구 자체도 추후 설치될 수 있습니다. 입주 전 정확한 개장 일정을 서면으로 사전 공지하도록 요청하실 것을 권고드립니다.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8-5. 근린생활시설(상가) 인접동 이슈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“101동, 102동, 106동 지상1층에 인접하여 설치되는 작은도서관, 피트니스/골프연습장, 근린생활시설의 시설 유지보수 등으로 인한 2층 및 저층부 일부세대는 사생활 침해 등 생활의 불편이 발생할 수 있습니다.”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“106동 인근에 근린생활시설 부속시설물(에어컨실외기, 배기팬, 설비시설 등)이 추후 상가 입점자 공사로 인하여 설치될 수 있으며... 근린생활시설용 쓰레기 분리수거장은... 106동에 인접하여 이로 인한 냄새 및 소음, 분진이 발생할 수 있습니다.”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 의견   </w:t>
      </w:r>
      <w:r>
        <w:t xml:space="preserve">106동은 근린생활시설의 실외기·배기팬·탈취설비·쓰레기분리수거장이 모두 인접해 향후 냄새·소음·분진 민원이 집중될 가능성이 높습니다. 업종 제한(특히 음식점) 협의, 106동 대상 설비 위치 사전 공유를 시행사·상가 분양주체에 요청하실 것을 권고드립니다.</w:t>
      </w:r>
    </w:p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09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계약조항 핵심 유의사항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/>
      </w:pPr>
      <w:r>
        <w:t xml:space="preserve">공고문 조항을 「약관의 규제에 관한 법률」·「공동주택관리법」 원문과 대조한 결과입니다.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위험 1. 설계변경 동의 간주 — 통보·동의 절차 없이 임의 인허가 진행 가능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“아파트 현장여건(지질상태, 주변 민원 등)에 따라 공사공법이 변경될 수 있으며... 관계법령에서 정하는 경미한 설계변경은 계약자의 동의가 있는 것으로 간주하여 계약자의 동의없이 사업주체가 인·허가를 통해 진행할 수 있습니다.”</w:t>
      </w:r>
    </w:p>
    <w:p>
      <w:pPr>
        <w:spacing w:after="60"/>
      </w:pPr>
      <w:r>
        <w:rPr>
          <w:b/>
          <w:bCs/>
          <w:color w:val="C00000"/>
        </w:rPr>
        <w:t xml:space="preserve">법적 근거  </w:t>
      </w:r>
      <w:r>
        <w:t xml:space="preserve">약관의 규제에 관한 법률 제10조제1호, 제12조제1호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 의견   </w:t>
      </w:r>
      <w:r>
        <w:t xml:space="preserve">'경미한 설계변경'의 범위가 불명확한 채로 동의를 간주하는 것은 무효 소지가 큽니다. 구체적 기준과 중대 변경 시 사전 통지·동의 절차 신설을 요구하실 것을 권고드립니다.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위험 2. 지체상금 면제 + 이의제기 금지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“입주예정일은... 지연될 수 있으며, 이 경우 입주 지연에 따른 이의를 제기할 수 없으며, 지체상금은 발생하지 않습니다.”</w:t>
      </w:r>
    </w:p>
    <w:p>
      <w:pPr>
        <w:spacing w:after="60"/>
      </w:pPr>
      <w:r>
        <w:rPr>
          <w:b/>
          <w:bCs/>
          <w:color w:val="C00000"/>
        </w:rPr>
        <w:t xml:space="preserve">법적 근거  </w:t>
      </w:r>
      <w:r>
        <w:t xml:space="preserve">약관의 규제에 관한 법률 제7조제2호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 의견   </w:t>
      </w:r>
      <w:r>
        <w:t xml:space="preserve">사업주체 귀책사유로 인한 지연에 대해서까지 지체상금을 면제하는 것은 무효 소지가 있습니다. 귀책사유가 사업주체에 있는 경우 지체상금 지급 조항 신설을 요구하실 것을 권고드립니다.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위험 3. 분양조건 차이 이의제기 금지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“본 아파트의 판매시점에 따라 향후 분양조건의 차이가 있을 수 있으며, 이에 이의를 제기하실 수 없습니다.”</w:t>
      </w:r>
    </w:p>
    <w:p>
      <w:pPr>
        <w:spacing w:after="60"/>
      </w:pPr>
      <w:r>
        <w:rPr>
          <w:b/>
          <w:bCs/>
          <w:color w:val="C00000"/>
        </w:rPr>
        <w:t xml:space="preserve">법적 근거  </w:t>
      </w:r>
      <w:r>
        <w:t xml:space="preserve">약관의 규제에 관한 법률 제11조제1호, 제14조제1호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 의견   </w:t>
      </w:r>
      <w:r>
        <w:t xml:space="preserve">동일 사유가 대량 발생할 경우를 대비해 협의회 차원의 대표 문제제기 창구를 미리 확보해 두실 것을 권고드립니다.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위험 4. 공용시설 임의변경 + 이의제기 금지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“견본주택에서 확인이 곤란한 공용부문의 시설물(공용계단, 지하주차장, 엘리베이터의 용량·속도·탑승위치 등)은... 최종 주택건설사업계획승인 도면에 준하며, 이로 인해 사업주체 또는 시공사에게 이의를 제기할 수 없습니다.”</w:t>
      </w:r>
    </w:p>
    <w:p>
      <w:pPr>
        <w:spacing w:after="60"/>
      </w:pPr>
      <w:r>
        <w:rPr>
          <w:b/>
          <w:bCs/>
          <w:color w:val="C00000"/>
        </w:rPr>
        <w:t xml:space="preserve">법적 근거  </w:t>
      </w:r>
      <w:r>
        <w:t xml:space="preserve">약관의 규제에 관한 법률 제10조제1호, 제14조제1호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 의견   </w:t>
      </w:r>
      <w:r>
        <w:t xml:space="preserve">최종 사업계획승인 도면의 사전 공개를 요청하시고, 최초 고지 사양 대비 중대한 하향 변경 시 통지 의무 신설을 요구하실 것을 권고드립니다.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위험 5. 배관노출 소음 하자책임 면제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“발코니 확장 세대의 상부세대가 비확장일 경우 상부세대의 배관 일부가 확장세대 상부에 노출되어 이로 인한 소음이 발생할 수 있으며 이로 인하여 사업주체 또는 시공사에 이의를 제기할 수 없습니다.”</w:t>
      </w:r>
    </w:p>
    <w:p>
      <w:pPr>
        <w:spacing w:after="60"/>
      </w:pPr>
      <w:r>
        <w:rPr>
          <w:b/>
          <w:bCs/>
          <w:color w:val="C00000"/>
        </w:rPr>
        <w:t xml:space="preserve">법적 근거  </w:t>
      </w:r>
      <w:r>
        <w:t xml:space="preserve">약관의 규제에 관한 법률 제7조제3호, 공동주택관리법 제36조제1항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 의견   </w:t>
      </w:r>
      <w:r>
        <w:t xml:space="preserve">하자담보책임을 사전에 포괄 면제하는 조항은 무효 소지가 있습니다. 하자보수 대상 일률 배제 문구 삭제 및 저감시공 대안을 요구하실 것을 권고드립니다.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추가 검토필요 조항 (9건)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즉시 무효를 다투기보다, 협의회 차원의 서면 질의·개선요구 대상으로 정리했습니다.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마감재/사양 변경  —  </w:t>
      </w:r>
      <w:r>
        <w:t xml:space="preserve">품절·단종 시 '동급 이상' 대체는 표준이나, 사전 공지·동의 절차가 빠져 있어 임의 하향 시공의 여지가 있음.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계약 해제/위약금  —  </w:t>
      </w:r>
      <w:r>
        <w:t xml:space="preserve">해제 시 위약금 외에 대납이자 전액까지 추가 부담시켜 이중 페널티 소지.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유상옵션(발코니확장 등)  —  </w:t>
      </w:r>
      <w:r>
        <w:t xml:space="preserve">중도금 납부 이후 옵션 해제·변경을 시공사 동의 없이 전면 금지.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추가 선택품목  —  </w:t>
      </w:r>
      <w:r>
        <w:t xml:space="preserve">품질·사양 불만이 있어도 교체·해약 요구 자체를 원천 금지.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조경 하자책임  —  </w:t>
      </w:r>
      <w:r>
        <w:t xml:space="preserve">조경수 고사 등 원인(시공불량 vs 관리소홀) 불명확한 상태에서 시공사 책임을 일률 면제.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중도금 대출 중단  —  </w:t>
      </w:r>
      <w:r>
        <w:t xml:space="preserve">계약자 귀책 대출중단 시 최고·유예기간 없이 즉시 계약해제 가능 조항.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환경권 침해 수인조항 (지붕층 시설물)  —  </w:t>
      </w:r>
      <w:r>
        <w:t xml:space="preserve">일조·조망·소음진동·사생활 침해 가능성을 언급하며 이의제기 배제.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환경권 침해 수인조항 (단지 내 도로·시설 인접)  —  </w:t>
      </w:r>
      <w:r>
        <w:t xml:space="preserve">인접세대의 소음·진동·조망 저해 등을 일률적으로 수인하도록 고지.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발코니 확장 단차  —  </w:t>
      </w:r>
      <w:r>
        <w:t xml:space="preserve">인접·상부세대 비확장 시 발생하는 시공상 단차·마감 불량 관련 이의제기 배제.</w:t>
      </w:r>
    </w:p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10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결론 및 협의회 대응 로드맵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1순위 — 즉시 서면 질의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구조형식(무량판 여부) 및 구조계산서·구조 심의결과 공개 요청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106동(및 101·102동 저층부) 근린생활시설 업종 제한 및 실외기·배기설비 위치 협의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커뮤니티시설(CLUB XIAN 등) 정확한 개장 일정 서면 공지 요청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핵심 유의조항 5건에 대한 삭제·수정 요구 공문 발송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2순위 — 계약 전 확인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대출규제(LTV/DSR) 개별 세대 기준 취급은행 사전상담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바닥충격음 성능시험 성적서(dB 수치) 공개 요청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전기차충전시설 최종 배치도 확인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3순위 — 준공 전후 모니터링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소방시설 완비증명서 및 화재안전기준 적용판 확인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내진성능 확인서(구조기술사 검토) 확보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에너지효율 본인증 등급이 예비인증(1+등급)과 동일한지 확인</w:t>
      </w:r>
    </w:p>
    <w:p>
      <w:pPr>
        <w:spacing w:before="300"/>
      </w:pPr>
      <w:r>
        <w:rPr>
          <w:i/>
          <w:iCs/>
          <w:color w:val="595959"/>
          <w:sz w:val="20"/>
          <w:szCs w:val="20"/>
        </w:rPr>
        <w:t xml:space="preserve">본 보고서는 AI 1차 스크리닝 및 공개 행정정보 기반 검토자료로, 협의회의 대응 우선순위 결정을 돕기 위해 작성되었습니다. 구조·소방 등 전문영역은 별도 기술자문을, 법적 대응은 정식 법률자문을 권고드립니다.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999999"/>
        <w:sz w:val="16"/>
        <w:szCs w:val="16"/>
      </w:rPr>
      <w:t xml:space="preserve">상주자이르네 검토보고서</w:t>
    </w:r>
    <w:r>
      <w:rPr>
        <w:color w:val="999999"/>
        <w:sz w:val="16"/>
        <w:szCs w:val="16"/>
      </w:rPr>
      <w:t xml:space="preserve">	2026 · 입주예정자협의회 배포용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6669345aa5405fea5682e6b2db24895377c531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2026-07-16T07:18:39.540Z</dcterms:created>
  <dcterms:modified xsi:type="dcterms:W3CDTF">2026-07-16T07:18:39.541Z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