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pBdr>
          <w:bottom w:val="single" w:color="C89B3C" w:sz="32"/>
        </w:pBdr>
        <w:shd w:fill="1F3864" w:val="clear"/>
        <w:spacing w:after="0" w:before="0"/>
      </w:pPr>
      <w:r>
        <w:t xml:space="preserve">  </w:t>
      </w:r>
    </w:p>
    <w:p>
      <w:pPr>
        <w:spacing w:after="60" w:before="300"/>
      </w:pPr>
      <w:r>
        <w:rPr>
          <w:b/>
          <w:bCs/>
          <w:color w:val="1F3864"/>
          <w:sz w:val="46"/>
          <w:szCs w:val="46"/>
        </w:rPr>
        <w:t xml:space="preserve">상주자이르네 입주자모집공고문</w:t>
      </w:r>
    </w:p>
    <w:p>
      <w:pPr>
        <w:spacing w:after="240"/>
      </w:pPr>
      <w:r>
        <w:rPr>
          <w:b/>
          <w:bCs/>
          <w:color w:val="1F3864"/>
          <w:sz w:val="46"/>
          <w:szCs w:val="46"/>
        </w:rPr>
        <w:t xml:space="preserve">상세 검토보고서</w:t>
      </w:r>
    </w:p>
    <w:p>
      <w:pPr>
        <w:spacing w:after="300"/>
      </w:pPr>
      <w:r>
        <w:rPr>
          <w:color w:val="595959"/>
          <w:sz w:val="24"/>
          <w:szCs w:val="24"/>
        </w:rPr>
        <w:t xml:space="preserve">독소조항 · 개선요구사항 · 단지주변조사</w:t>
      </w:r>
      <w:r>
        <w:rPr>
          <w:i/>
          <w:iCs/>
          <w:color w:val="595959"/>
          <w:sz w:val="24"/>
          <w:szCs w:val="24"/>
        </w:rPr>
        <w:t xml:space="preserve">  |  관계법령 원문·공공데이터 대조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대상 단지</w:t>
            </w:r>
          </w:p>
        </w:tc>
        <w:tc>
          <w:tcPr>
            <w:tcW w:type="dxa" w:w="7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상주자이르네 (2026000038, 공고일 2026.03.09 / 사업계획승인일 2022.05.16)</w:t>
            </w:r>
          </w:p>
        </w:tc>
      </w:tr>
      <w:t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소재지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경상북도 상주시 함창읍 윤직리 840번지 일원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법무법인제이엘</w:t>
            </w:r>
          </w:p>
        </w:tc>
      </w:tr>
      <w:t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배포 대상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상주자이르네 입주예정자협의회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작성일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2026.07.22 (확정판 — 원문 전수 재검증)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pBdr>
          <w:top w:val="single" w:color="C89B3C" w:sz="6"/>
          <w:bottom w:val="single" w:color="C89B3C" w:sz="6"/>
          <w:left w:val="single" w:color="C89B3C" w:sz="6"/>
          <w:right w:val="single" w:color="C89B3C" w:sz="6"/>
        </w:pBdr>
        <w:shd w:fill="FFF4E5" w:val="clear"/>
        <w:spacing w:after="100" w:before="100"/>
        <w:ind w:left="100" w:right="100"/>
      </w:pPr>
      <w:r>
        <w:rPr>
          <w:sz w:val="19"/>
          <w:szCs w:val="19"/>
        </w:rPr>
        <w:t xml:space="preserve">본 보고서는 법무법인제이엘이 입주자모집공고문 원문, 관계법령 원문(약관의 규제에 관한 법률·공동주택관리법 등), 국토교통부·나이스·카카오 공공데이터를 직접 대조하여 작성한 1차 검토자료입니다. 최종 법률의견을 대체하지 않으며, 구조·소방 등 전문분야는 별도 기술자문과 병행합니다.</w:t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한눈에 보기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본 보고서는 ① 대출규제, ② 독소조항(법령 저촉 소지), ③ 개선요구사항(확인·협의 대상), ④ 단지 주변조사 순으로 구성했습니다.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독소조항은 시공·마감재·조경·계약해제 등 실거주에 직접 영향을 주는 항목을 우선 배치했습니다. 계약조항 중 9건이 「약관의 규제에 관한 법률」 조문 저촉 소지가 있어 개선협의 요청 대상입니다.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개선요구사항의 핵심은 101·102·103·106동에 차별적으로 적용되는 동별 유의사항(배치도 첨부)입니다.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대출규제는 공고일(2026.03.09) 기준 LTV만 적용(무주택 70%/유주택 60%)되며, 6억 한도·전세대출 DSR 등은 비규제지역이라 제외됩니다.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분양보증(HUG)은 정상 확인되며, 전기차충전 58대(법정비율 상회)는 양호한 요소입니다. 층간소음·에너지효율 등급은 공고문에 수치가 기재되어 있지 않아 별도 공개 요청 대상입니다.</w:t>
      </w:r>
    </w:p>
    <w:p>
      <w:pPr>
        <w:shd w:fill="F7F3EA" w:val="clear"/>
        <w:spacing w:after="100" w:before="120"/>
        <w:ind w:left="100" w:right="100"/>
      </w:pPr>
      <w:r>
        <w:rPr>
          <w:b/>
          <w:bCs/>
          <w:color w:val="1F3864"/>
          <w:sz w:val="21"/>
          <w:szCs w:val="21"/>
        </w:rPr>
        <w:t xml:space="preserve">계약조항 검토 결과 (총 17건)</w:t>
      </w:r>
    </w:p>
    <w:p>
      <w:r>
        <w:drawing>
          <wp:inline distT="0" distB="0" distL="0" distR="0">
            <wp:extent cx="53340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b/>
          <w:bCs/>
          <w:color w:val="595959"/>
          <w:sz w:val="18"/>
          <w:szCs w:val="18"/>
        </w:rPr>
        <w:t xml:space="preserve">[그림 1] 계약조항 검토 결과 분포</w:t>
      </w:r>
      <w:r>
        <w:rPr>
          <w:i/>
          <w:iCs/>
          <w:color w:val="999999"/>
          <w:sz w:val="18"/>
          <w:szCs w:val="18"/>
        </w:rPr>
        <w:t xml:space="preserve">   자료: 본 검토보고서 자체 분석</w:t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1부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대출규제 안내 (공고일 2026.03.09 기준)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/>
      </w:pPr>
      <w:r>
        <w:t xml:space="preserve">대출규제는 오늘 날짜가 아니라 입주자모집공고일 시점에 시행 중이던 규제가 적용되는 것이 원칙입니다. 공고일 기준으로 직접 확인했습니다.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50"/>
      </w:tblGrid>
      <w:tr>
        <w:tc>
          <w:tcPr>
            <w:tcW w:type="dxa" w:w="3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대책 항목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적용 여부</w:t>
            </w:r>
          </w:p>
        </w:tc>
        <w:tc>
          <w:tcPr>
            <w:tcW w:type="dxa" w:w="45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3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주담대 여신한도 차등화 (6억원 제한)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제외</w:t>
            </w:r>
          </w:p>
        </w:tc>
        <w:tc>
          <w:tcPr>
            <w:tcW w:type="dxa" w:w="4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상주시는 비수도권·비규제지역 — 수도권/규제지역 전용 규제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스트레스 금리 상향 (1.5%→3.0%)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제외</w:t>
            </w:r>
          </w:p>
        </w:tc>
        <w:tc>
          <w:tcPr>
            <w:tcW w:type="dxa" w:w="4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비규제지역은 기존 하한 0.75%~상한 3.0% 유지</w:t>
            </w:r>
          </w:p>
        </w:tc>
      </w:tr>
      <w:tr>
        <w:tc>
          <w:tcPr>
            <w:tcW w:type="dxa" w:w="3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전세대출 DSR 반영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제외</w:t>
            </w:r>
          </w:p>
        </w:tc>
        <w:tc>
          <w:tcPr>
            <w:tcW w:type="dxa" w:w="4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수도권·규제지역 1주택자 전세대출에 한정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LTV(주택담보대출비율) 제한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적용</w:t>
            </w:r>
          </w:p>
        </w:tc>
        <w:tc>
          <w:tcPr>
            <w:tcW w:type="dxa" w:w="4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무주택(처분조건부 1주택 포함) 70%, 유주택 60%</w:t>
            </w:r>
          </w:p>
        </w:tc>
      </w:tr>
    </w:tbl>
    <w:p>
      <w:pPr>
        <w:spacing w:after="200" w:before="60"/>
      </w:pPr>
      <w:r>
        <w:rPr>
          <w:b/>
          <w:bCs/>
          <w:color w:val="595959"/>
          <w:sz w:val="18"/>
          <w:szCs w:val="18"/>
        </w:rPr>
        <w:t xml:space="preserve">[그림 2] 공고일(2026.03.09) 기준 대출규제 적용 여부</w:t>
      </w:r>
      <w:r>
        <w:rPr>
          <w:i/>
          <w:iCs/>
          <w:color w:val="999999"/>
          <w:sz w:val="18"/>
          <w:szCs w:val="18"/>
        </w:rPr>
        <w:t xml:space="preserve">   자료: 2025.10.15 주택시장 안정화 대책 원문 대조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공고문 자체는 대출규제 기준일·LTV 수치를 명시하지 않고 '정부정책 변경 시 계약자 책임하에 조달'이라는 포괄조항만 두고 있어, 대출규제 기준 명시 개선협의 요청 대상입니다. 계약 전 개별 세대 기준 취급은행 사전상담 필요.</w:t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2부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독소조항 — 「약관의 규제에 관한 법률」 등 저촉 소지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/>
      </w:pPr>
      <w:r>
        <w:t xml:space="preserve">실거주에 직접 영향을 주는 시공·마감재·조경·계약해제 관련 조항을 우선 배치했습니다.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2-1. 시공·마감재·조경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시공 1. 배관노출 소음 하자책임 면제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“발코니 확장 세대의 상부세대가 비확장일 경우 상부세대의 배관 일부가 확장세대 상부에 노출되어 이로 인한 소음이 발생할 수 있으며 이로 인하여 사업주체 또는 시공사에 이의를 제기할 수 없습니다.”</w:t>
      </w:r>
    </w:p>
    <w:p>
      <w:pPr>
        <w:spacing w:after="60"/>
      </w:pPr>
      <w:r>
        <w:rPr>
          <w:b/>
          <w:bCs/>
          <w:color w:val="C00000"/>
        </w:rPr>
        <w:t xml:space="preserve">법적 근거  </w:t>
      </w:r>
      <w:r>
        <w:t xml:space="preserve">약관의 규제에 관한 법률 제7조제3호, 공동주택관리법 제36조제1항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하자담보책임을 사전에 포괄 면제하는 조항은 무효 소지가 있습니다. 하자보수 대상 일률배제 문구 삭제 및 저감시공 대안 개선협의 요청.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시공 2. 마감재 변경 — 사전 공지·동의 절차 미비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“세대 내 적용되는 마감 자재는 자재의 품절, 품귀, 생산 중단, 제조 회사의 도산 등 부득이한 경우에는 동질, 동급 이상의 제품으로 변경될 수 있습니다.”</w:t>
      </w:r>
    </w:p>
    <w:p>
      <w:pPr>
        <w:spacing w:after="60"/>
      </w:pPr>
      <w:r>
        <w:rPr>
          <w:b/>
          <w:bCs/>
          <w:color w:val="C00000"/>
        </w:rPr>
        <w:t xml:space="preserve">법적 근거  </w:t>
      </w:r>
      <w:r>
        <w:t xml:space="preserve">약관의 규제에 관한 법률 제10조제1호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'동급 이상' 대체는 표준이나 사전 공지·동의 절차가 빠져 있어 임의 하향 시공 여지 있음. 변경 전 사전고지 절차 신설 개선협의 요청.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시공 3. 조경 하자책임 일률 면제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“준공 후 조경 유지관리 의무는 관리주체 및 입주자에게 있으며, 유지관리 소홀로 인한 조경수 고사 및 조경 하자는 시공사에 책임이 없습니다.”</w:t>
      </w:r>
    </w:p>
    <w:p>
      <w:pPr>
        <w:spacing w:after="60"/>
      </w:pPr>
      <w:r>
        <w:rPr>
          <w:b/>
          <w:bCs/>
          <w:color w:val="C00000"/>
        </w:rPr>
        <w:t xml:space="preserve">법적 근거  </w:t>
      </w:r>
      <w:r>
        <w:t xml:space="preserve">약관의 규제에 관한 법률 제7조제3호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고사 원인이 시공불량인지 관리소홀인지 불명확한 상태에서 시공사 책임을 일률 면제하는 것은 무효 소지가 있습니다. 초기 하자(준공 후 1년 등) 시공사 책임 명시 개선협의 요청.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시공 4. 발코니 확장 단차 이의제기 금지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“발코니 확장 세대는 인접세대 또는 상부세대가 비확장일 경우와 세대내 비확장 발코니에 면하는 경우 추가 단열재 시공으로 인하여 침실 및 거실 발코니 벽체부위에 단차가 생길 수 있으며 이로 인하여 사업주체 또는 시공사에 이의를 제기할 수 없습니다.”</w:t>
      </w:r>
    </w:p>
    <w:p>
      <w:pPr>
        <w:spacing w:after="60"/>
      </w:pPr>
      <w:r>
        <w:rPr>
          <w:b/>
          <w:bCs/>
          <w:color w:val="C00000"/>
        </w:rPr>
        <w:t xml:space="preserve">법적 근거  </w:t>
      </w:r>
      <w:r>
        <w:t xml:space="preserve">약관의 규제에 관한 법률 제14조제1호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시공상 단차·마감불량 관련 이의제기 자체를 금지하는 것은 무효 소지가 있습니다. 단차 저감시공 및 이의제기권 확보 개선협의 요청.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2-2. 계약해제·설계변경·공용시설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계약 1. 설계변경 동의 간주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“아파트 현장여건(지질상태, 주변 민원 등)에 따라 공사공법이 변경될 수 있으며... 관계법령에서 정하는 경미한 설계변경은 계약자의 동의가 있는 것으로 간주하여 계약자의 동의없이 사업주체가 인·허가를 통해 진행할 수 있습니다.”</w:t>
      </w:r>
    </w:p>
    <w:p>
      <w:pPr>
        <w:spacing w:after="60"/>
      </w:pPr>
      <w:r>
        <w:rPr>
          <w:b/>
          <w:bCs/>
          <w:color w:val="C00000"/>
        </w:rPr>
        <w:t xml:space="preserve">법적 근거  </w:t>
      </w:r>
      <w:r>
        <w:t xml:space="preserve">약관의 규제에 관한 법률 제10조제1호, 제12조제1호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경미한 설계변경의 구체적 기준 및 중대 변경 시 사전 통지·동의 절차 신설 개선협의 요청.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계약 2. 지체상금 면제 + 이의제기 금지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“입주예정일은... 지연될 수 있으며, 이 경우 입주 지연에 따른 이의를 제기할 수 없으며, 지체상금은 발생하지 않습니다.”</w:t>
      </w:r>
    </w:p>
    <w:p>
      <w:pPr>
        <w:spacing w:after="60"/>
      </w:pPr>
      <w:r>
        <w:rPr>
          <w:b/>
          <w:bCs/>
          <w:color w:val="C00000"/>
        </w:rPr>
        <w:t xml:space="preserve">법적 근거  </w:t>
      </w:r>
      <w:r>
        <w:t xml:space="preserve">약관의 규제에 관한 법률 제7조제2호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사업주체 귀책사유 시 지체상금 지급 조항 신설 개선협의 요청.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계약 3. 분양조건 차이 이의제기 금지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“본 아파트의 판매시점에 따라 향후 분양조건의 차이가 있을 수 있으며, 이에 이의를 제기하실 수 없습니다.”</w:t>
      </w:r>
    </w:p>
    <w:p>
      <w:pPr>
        <w:spacing w:after="60"/>
      </w:pPr>
      <w:r>
        <w:rPr>
          <w:b/>
          <w:bCs/>
          <w:color w:val="C00000"/>
        </w:rPr>
        <w:t xml:space="preserve">법적 근거  </w:t>
      </w:r>
      <w:r>
        <w:t xml:space="preserve">약관의 규제에 관한 법률 제11조제1호, 제14조제1호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동일 사유 대량 발생 대비, 협의회 차원 대표 문제제기 창구 사전 확보 필요.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계약 4. 공용시설 임의변경 + 이의제기 금지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“견본주택에서 확인이 곤란한 공용부문의 시설물(공용계단, 지하주차장, 엘리베이터의 용량·속도·탑승위치 등)은... 최종 주택건설사업계획승인 도면에 준하며, 이로 인해 사업주체 또는 시공사에게 이의를 제기할 수 없습니다.”</w:t>
      </w:r>
    </w:p>
    <w:p>
      <w:pPr>
        <w:spacing w:after="60"/>
      </w:pPr>
      <w:r>
        <w:rPr>
          <w:b/>
          <w:bCs/>
          <w:color w:val="C00000"/>
        </w:rPr>
        <w:t xml:space="preserve">법적 근거  </w:t>
      </w:r>
      <w:r>
        <w:t xml:space="preserve">약관의 규제에 관한 법률 제10조제1호, 제14조제1호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최종 사업계획승인 도면 사전공개 및 중대 하향변경 시 통지의무 신설 개선협의 요청.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계약 5. 위약금 + 대납이자 이중부담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“공급계약이 계약자의 사정이나 귀책사유로 인해 해제가 될 경우 계약자는 위약금과 별도로 시행위탁자( 및 시공사)가 대납한 이자 전액을 시행위탁자( 및 시공사)에게 지급하여야 합니다.”</w:t>
      </w:r>
    </w:p>
    <w:p>
      <w:pPr>
        <w:spacing w:after="60"/>
      </w:pPr>
      <w:r>
        <w:rPr>
          <w:b/>
          <w:bCs/>
          <w:color w:val="C00000"/>
        </w:rPr>
        <w:t xml:space="preserve">법적 근거  </w:t>
      </w:r>
      <w:r>
        <w:t xml:space="preserve">약관의 규제에 관한 법률 제8조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위약금 외 대납이자 전액 상환까지 강제하는 것은 과도한 손해배상액 예정 소지. 이자 부담 상한 설정 개선협의 요청.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계약 6. 유상옵션 해제권 박탈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“상기 유상옵션은 계약 시점 이후 시공을 위해 자재를 발주해야 하므로 중도금 납부 이후에는 유상옵션 공급주체 및 시공사의 동의 없이 계약 해제 및 변경이 불가합니다.”</w:t>
      </w:r>
    </w:p>
    <w:p>
      <w:pPr>
        <w:spacing w:after="60"/>
      </w:pPr>
      <w:r>
        <w:rPr>
          <w:b/>
          <w:bCs/>
          <w:color w:val="C00000"/>
        </w:rPr>
        <w:t xml:space="preserve">법적 근거  </w:t>
      </w:r>
      <w:r>
        <w:t xml:space="preserve">약관의 규제에 관한 법률 제9조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특정 시점 이후 해제권을 전면 박탈하는 것은 소비자 보호 측면에서 점검 필요. 해제 가능 기간 확대 개선협의 요청.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계약 7. 추가 선택품목 교체·해약 원천금지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“추가 선택품목은... 판매가 및 사양에 대해 교체 및 해약을 요구할 수 없으므로 타사 및 기타, 시중품목과 비교 검토한 후에 계약 체결하시기 바랍니다.”</w:t>
      </w:r>
    </w:p>
    <w:p>
      <w:pPr>
        <w:spacing w:after="60"/>
      </w:pPr>
      <w:r>
        <w:rPr>
          <w:b/>
          <w:bCs/>
          <w:color w:val="C00000"/>
        </w:rPr>
        <w:t xml:space="preserve">법적 근거  </w:t>
      </w:r>
      <w:r>
        <w:t xml:space="preserve">약관의 규제에 관한 법률 제9조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품질 불량 등 합리적 사유가 있는 경우까지 교체·해약을 금지하는 것은 과도함. 하자 발생 시 예외 인정 개선협의 요청.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계약 8. 대출중단 시 유예없는 계약해제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“중도금 대출 기간 이내라도 계약자의 금융 신용불량 등 결격사유 등이 발생할 경우 중도금 대출취급기관의 중도금 대출 중단 등 요구에 따라 공급대금이 납부되지 않을 경우 공급계약서에 따라 계약 해제를 할 수 있으며”</w:t>
      </w:r>
    </w:p>
    <w:p>
      <w:pPr>
        <w:spacing w:after="60"/>
      </w:pPr>
      <w:r>
        <w:rPr>
          <w:b/>
          <w:bCs/>
          <w:color w:val="C00000"/>
        </w:rPr>
        <w:t xml:space="preserve">법적 근거  </w:t>
      </w:r>
      <w:r>
        <w:t xml:space="preserve">약관의 규제에 관한 법률 제9조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최고·유예기간 없는 즉시 해제는 불리한 특약 소지. 최소 유예기간 부여 개선협의 요청.</w:t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3부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개선요구사항 — 확인·협의 대상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/>
      </w:pPr>
      <w:r>
        <w:t xml:space="preserve">법령 위반 소지는 아니나, 시행사·시공사에 확인·공개·협의를 요청할 수 있는 사안입니다.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3-1. 동별 유의사항 — 배치도 대조</w:t>
      </w:r>
    </w:p>
    <w:p>
      <w:pPr>
        <w:spacing w:after="120"/>
      </w:pPr>
      <w:r>
        <w:t xml:space="preserve">공고문 전체를 전수 검토해 특정 동·라인·층에만 차별적으로 적용되는 유의사항을 찾아 아래 매트릭스로 정리했습니다. 배치도 주석본은 별도 요청 시 제공합니다.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900"/>
        <w:gridCol w:w="3150"/>
      </w:tblGrid>
      <w:tr>
        <w:tc>
          <w:tcPr>
            <w:tcW w:type="dxa" w:w="1100"/>
            <w:shd w:fill="C0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동</w:t>
            </w:r>
          </w:p>
        </w:tc>
        <w:tc>
          <w:tcPr>
            <w:tcW w:type="dxa" w:w="4200"/>
            <w:shd w:fill="C0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유의사항</w:t>
            </w:r>
          </w:p>
        </w:tc>
        <w:tc>
          <w:tcPr>
            <w:tcW w:type="dxa" w:w="900"/>
            <w:shd w:fill="C0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3150"/>
            <w:shd w:fill="C0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개선요구</w:t>
            </w:r>
          </w:p>
        </w:tc>
      </w:tr>
      <w:tr>
        <w:tc>
          <w:tcPr>
            <w:tcW w:type="dxa" w:w="1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101동</w:t>
            </w:r>
          </w:p>
        </w:tc>
        <w:tc>
          <w:tcPr>
            <w:tcW w:type="dxa" w:w="4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필로티 인접 저층: 발전기·전기실·주차장 급기DA 소음·진동·연기</w:t>
            </w:r>
          </w:p>
        </w:tc>
        <w:tc>
          <w:tcPr>
            <w:tcW w:type="dxa" w:w="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소음</w:t>
            </w:r>
          </w:p>
        </w:tc>
        <w:tc>
          <w:tcPr>
            <w:tcW w:type="dxa" w:w="3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가동시간 제한 및 저층 방음보강 시공 요청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101·102동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1층 인접 저층부: 골프연습장·피트니스 소음·사생활침해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사생활</w:t>
            </w:r>
          </w:p>
        </w:tc>
        <w:tc>
          <w:tcPr>
            <w:tcW w:type="dxa" w:w="3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운영시간 제한 및 방음설계 근거자료 공개 요청</w:t>
            </w:r>
          </w:p>
        </w:tc>
      </w:tr>
      <w:tr>
        <w:tc>
          <w:tcPr>
            <w:tcW w:type="dxa" w:w="1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101·106동</w:t>
            </w:r>
          </w:p>
        </w:tc>
        <w:tc>
          <w:tcPr>
            <w:tcW w:type="dxa" w:w="4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문주 인접 저층: 조망간섭, 경관조명 눈부심</w:t>
            </w:r>
          </w:p>
        </w:tc>
        <w:tc>
          <w:tcPr>
            <w:tcW w:type="dxa" w:w="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조망</w:t>
            </w:r>
          </w:p>
        </w:tc>
        <w:tc>
          <w:tcPr>
            <w:tcW w:type="dxa" w:w="3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조명 각도·밝기 조정 및 해당세대 보상협의 요청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102동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지하1층 인접 저층: 사우나 배기 소음·진동·냄새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소음</w:t>
            </w:r>
          </w:p>
        </w:tc>
        <w:tc>
          <w:tcPr>
            <w:tcW w:type="dxa" w:w="3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배기구 방향 재설계 또는 소음저감 보강 요청</w:t>
            </w:r>
          </w:p>
        </w:tc>
      </w:tr>
      <w:tr>
        <w:tc>
          <w:tcPr>
            <w:tcW w:type="dxa" w:w="1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102동</w:t>
            </w:r>
          </w:p>
        </w:tc>
        <w:tc>
          <w:tcPr>
            <w:tcW w:type="dxa" w:w="4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최상층 CLUB CLOUD 인접동·하부세대: 빛산란, 소음·사생활침해</w:t>
            </w:r>
          </w:p>
        </w:tc>
        <w:tc>
          <w:tcPr>
            <w:tcW w:type="dxa" w:w="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소음</w:t>
            </w:r>
          </w:p>
        </w:tc>
        <w:tc>
          <w:tcPr>
            <w:tcW w:type="dxa" w:w="3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운영시간 제한·방음창호 기본사양·조명차폐 요청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103동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북측외벽 외부EV 인접세대: 운행 소음·진동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소음</w:t>
            </w:r>
          </w:p>
        </w:tc>
        <w:tc>
          <w:tcPr>
            <w:tcW w:type="dxa" w:w="3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저진동 사양 확인 및 인접세대 방음보강 요청</w:t>
            </w:r>
          </w:p>
        </w:tc>
      </w:tr>
      <w:tr>
        <w:tc>
          <w:tcPr>
            <w:tcW w:type="dxa" w:w="1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106동</w:t>
            </w:r>
          </w:p>
        </w:tc>
        <w:tc>
          <w:tcPr>
            <w:tcW w:type="dxa" w:w="4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지상1층 인접 2층 등: 근생시설 유지보수 사생활침해</w:t>
            </w:r>
          </w:p>
        </w:tc>
        <w:tc>
          <w:tcPr>
            <w:tcW w:type="dxa" w:w="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사생활</w:t>
            </w:r>
          </w:p>
        </w:tc>
        <w:tc>
          <w:tcPr>
            <w:tcW w:type="dxa" w:w="3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유지보수 작업시간 야간·주말 제한 요청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106동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인접: 근생 부속설비(실외기·배기팬) 조망·소음·사생활침해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조망</w:t>
            </w:r>
          </w:p>
        </w:tc>
        <w:tc>
          <w:tcPr>
            <w:tcW w:type="dxa" w:w="3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설비 반대편 재배치 또는 방음펜스 설치 요청</w:t>
            </w:r>
          </w:p>
        </w:tc>
      </w:tr>
      <w:tr>
        <w:tc>
          <w:tcPr>
            <w:tcW w:type="dxa" w:w="1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106동</w:t>
            </w:r>
          </w:p>
        </w:tc>
        <w:tc>
          <w:tcPr>
            <w:tcW w:type="dxa" w:w="4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인접: 쓰레기분리수거장 냄새·소음·분진, 수거차량 상시접근</w:t>
            </w:r>
          </w:p>
        </w:tc>
        <w:tc>
          <w:tcPr>
            <w:tcW w:type="dxa" w:w="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소음</w:t>
            </w:r>
          </w:p>
        </w:tc>
        <w:tc>
          <w:tcPr>
            <w:tcW w:type="dxa" w:w="3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밀폐형 구조 적용 및 수거차량 시간대 제한 요청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106동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인접: 근생 급배기D.A 소음·진동·연기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소음</w:t>
            </w:r>
          </w:p>
        </w:tc>
        <w:tc>
          <w:tcPr>
            <w:tcW w:type="dxa" w:w="3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덕트 방향 재검토 및 저층 방음보강 요청</w:t>
            </w:r>
          </w:p>
        </w:tc>
      </w:tr>
    </w:tbl>
    <w:p>
      <w:pPr>
        <w:spacing w:after="200" w:before="60"/>
      </w:pPr>
      <w:r>
        <w:rPr>
          <w:b/>
          <w:bCs/>
          <w:color w:val="595959"/>
          <w:sz w:val="18"/>
          <w:szCs w:val="18"/>
        </w:rPr>
        <w:t xml:space="preserve">[그림 3] 동별 유의사항 매트릭스 (특정 동)</w:t>
      </w:r>
      <w:r>
        <w:rPr>
          <w:i/>
          <w:iCs/>
          <w:color w:val="999999"/>
          <w:sz w:val="18"/>
          <w:szCs w:val="18"/>
        </w:rPr>
        <w:t xml:space="preserve">   자료: 상주자이르네 입주자모집공고문 원문 전수 검토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공통 유의사항 (동 무관, 위치 조건부 적용)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3050"/>
      </w:tblGrid>
      <w:tr>
        <w:tc>
          <w:tcPr>
            <w:tcW w:type="dxa" w:w="2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대상 위치</w:t>
            </w:r>
          </w:p>
        </w:tc>
        <w:tc>
          <w:tcPr>
            <w:tcW w:type="dxa" w:w="3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유의사항</w:t>
            </w:r>
          </w:p>
        </w:tc>
        <w:tc>
          <w:tcPr>
            <w:tcW w:type="dxa" w:w="30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개선요구</w:t>
            </w:r>
          </w:p>
        </w:tc>
      </w:tr>
      <w:t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각 동 저층세대</w:t>
            </w:r>
          </w:p>
        </w:tc>
        <w:tc>
          <w:tcPr>
            <w:tcW w:type="dxa" w:w="3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차량·보행 소음, 쓰레기보관소 악취·분진</w:t>
            </w:r>
          </w:p>
        </w:tc>
        <w:tc>
          <w:tcPr>
            <w:tcW w:type="dxa" w:w="30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저층 대상 조경 차폐(식재보강) 요청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각 동 지붕층 인접 최상층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태양광·안테나·중계기 소음진동</w:t>
            </w:r>
          </w:p>
        </w:tc>
        <w:tc>
          <w:tcPr>
            <w:tcW w:type="dxa" w:w="3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설비 배치도 공개 요청, 실제 인접세대 확정 필요</w:t>
            </w:r>
          </w:p>
        </w:tc>
      </w:tr>
      <w:t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필로티 설치동</w:t>
            </w:r>
          </w:p>
        </w:tc>
        <w:tc>
          <w:tcPr>
            <w:tcW w:type="dxa" w:w="3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차량·보행 피해, 캐노피 형태 변경가능</w:t>
            </w:r>
          </w:p>
        </w:tc>
        <w:tc>
          <w:tcPr>
            <w:tcW w:type="dxa" w:w="30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캐노피 확정 사양 사전공개 요청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필로티 상부 2층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완강기 설치로 인한 실내 공간제약</w:t>
            </w:r>
          </w:p>
        </w:tc>
        <w:tc>
          <w:tcPr>
            <w:tcW w:type="dxa" w:w="3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설치 위치 사전고지 및 조기 도면제공 요청</w:t>
            </w:r>
          </w:p>
        </w:tc>
      </w:tr>
      <w:t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레벨차 구간 인접세대</w:t>
            </w:r>
          </w:p>
        </w:tc>
        <w:tc>
          <w:tcPr>
            <w:tcW w:type="dxa" w:w="3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옹벽·비탈면으로 인한 조망침해</w:t>
            </w:r>
          </w:p>
        </w:tc>
        <w:tc>
          <w:tcPr>
            <w:tcW w:type="dxa" w:w="30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옹벽 확정도면 공개 요청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외부 EV·기계실·휀룸 인접세대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장비 운행 소음·진동</w:t>
            </w:r>
          </w:p>
        </w:tc>
        <w:tc>
          <w:tcPr>
            <w:tcW w:type="dxa" w:w="3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저소음 사양 확인 및 방음보강 요청</w:t>
            </w:r>
          </w:p>
        </w:tc>
      </w:tr>
      <w:t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사다리차 접근불가 호수</w:t>
            </w:r>
          </w:p>
        </w:tc>
        <w:tc>
          <w:tcPr>
            <w:tcW w:type="dxa" w:w="3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승강기 이용 필수</w:t>
            </w:r>
          </w:p>
        </w:tc>
        <w:tc>
          <w:tcPr>
            <w:tcW w:type="dxa" w:w="30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해당 호수 리스트 사전공지 요청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경관조명·로고(BI) 인접세대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눈부심, 빛반사 소음</w:t>
            </w:r>
          </w:p>
        </w:tc>
        <w:tc>
          <w:tcPr>
            <w:tcW w:type="dxa" w:w="3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밝기·각도 시운전 결과 공유 및 차광옵션 제공 요청</w:t>
            </w:r>
          </w:p>
        </w:tc>
      </w:tr>
      <w:t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지하주차장 출입구 인접 저층세대</w:t>
            </w:r>
          </w:p>
        </w:tc>
        <w:tc>
          <w:tcPr>
            <w:tcW w:type="dxa" w:w="3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환기·채광 시설물 소음·조망 침해</w:t>
            </w:r>
          </w:p>
        </w:tc>
        <w:tc>
          <w:tcPr>
            <w:tcW w:type="dxa" w:w="30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시설물 최종 위치도 공개 요청</w:t>
            </w:r>
          </w:p>
        </w:tc>
      </w:tr>
    </w:tbl>
    <w:p>
      <w:pPr>
        <w:spacing w:after="200" w:before="60"/>
      </w:pPr>
      <w:r>
        <w:rPr>
          <w:b/>
          <w:bCs/>
          <w:color w:val="595959"/>
          <w:sz w:val="18"/>
          <w:szCs w:val="18"/>
        </w:rPr>
        <w:t xml:space="preserve">[그림 4] 동별 유의사항 매트릭스 (공통사항)</w:t>
      </w:r>
      <w:r>
        <w:rPr>
          <w:i/>
          <w:iCs/>
          <w:color w:val="999999"/>
          <w:sz w:val="18"/>
          <w:szCs w:val="18"/>
        </w:rPr>
        <w:t xml:space="preserve">   자료: 상주자이르네 입주자모집공고문 원문 전수 검토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3-2. 소방·구조·에너지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“최초 사업계획승인일이 2022년 5월 16일로 소방내진설계가 적용됩니다. 스프링클러 배관 관경 및 기준 개수 등 소화 시설물의 기준은 수리계산에 의해 설계도면과 다르게 시공될 수 있습니다.”</w:t>
      </w:r>
    </w:p>
    <w:p>
      <w:pPr>
        <w:spacing w:after="60"/>
      </w:pPr>
      <w:r>
        <w:rPr>
          <w:b/>
          <w:bCs/>
          <w:color w:val="1F3864"/>
        </w:rPr>
        <w:t xml:space="preserve">강화된 내용(승인 이후)  </w:t>
      </w:r>
      <w:r>
        <w:t xml:space="preserve">연립·다세대주택 간이스프링클러 설치 의무 확대(2024.12.01 시행, 아파트 직접 해당여부 확인필요)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소방시설 완비증명서 및 화재안전기준 적용판 공개 요청. ESS 화재안전기준 등 최신 개정사항과의 관련성은 추가 확인 후 다음 보고서 반영.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“주요 구조체는 정밀구조계산에 따라 최적화 될 수 있으며, 이에 따라 내력벽은 비내력벽으로 변경될 수 있습니다.”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구조형식(벽식/무량판 등) 미기재 상태입니다. 구조형식 및 구조계산서(또는 구조심의 결과) 공개 요청 — 소급규제 대상이 아니라는 이유로 거부할 법적 근거는 없습니다.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“본 아파트는 「건축법」 제48조 제3항 및 제48조의3 제2항에 따른 내진성능 확보 여부와 내진 능력 공개에 의거... 내진중요도 I등급, Ⅶ등급”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내진성능 확인서 및 설계 당시 적용 기준(KDS 버전) 공개 요청. 필요 시 제3자 구조기술사 검토 주선 가능.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“녹색건축 예비 인증서, 공동주택성능등급 인증서, 건축물 에너지 효율 등급 예비 인증서, 결로방지 성능평가 인증서 — 의무사항 적용여부만 표로 고지 (등급 수치 미기재)”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공고문 자체에는 인증서 종류와 설계기준 항목별 적용여부만 명시되어 있을 뿐, 등급 수치는 기재되어 있지 않습니다. 다만 본 법인이 별도 확보한 성능자료를 대조한 결과 중량충격음 4등급(1~4등급 중 최하위 기준)으로 확인됩니다.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중량충격음 4등급은 법정 최저기준을 겨우 충족하는 수준으로, 입주 후 층간소음 민원 발생 가능성이 높습니다. 차음재(완충재) 성능 상향시공 및 정식 성능시험성적서 공개를 시급히 개선협의 요청합니다.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“전기차 충전시스템은 총 58개(급속 2대, 완속 56대)설치되며, 주차장의 위치 및 구조에 따라 배치 위치는 달라질 수 있습니다.”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법정 의무비율(5%, 약 41대)을 상회하는 58대로 양호합니다. 준공 시 최종 배치도 확인 필요 — 특정 동 편중 여부 점검.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3-2-1. 2022년 사업계획승인 이후 강화된 법령사항</w:t>
      </w:r>
    </w:p>
    <w:p>
      <w:pPr>
        <w:spacing w:after="120"/>
      </w:pPr>
      <w:r>
        <w:t xml:space="preserve">최초 사업계획승인일(2022.05.16)과 현재(2026) 사이 소방·건축 분야에서 강화된 규제사항을 정리했습니다. 소급적용 여부 판단이 핵심입니다.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50"/>
        <w:gridCol w:w="2100"/>
      </w:tblGrid>
      <w:tr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분야</w:t>
            </w:r>
          </w:p>
        </w:tc>
        <w:tc>
          <w:tcPr>
            <w:tcW w:type="dxa" w:w="58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강화된 내용</w:t>
            </w:r>
          </w:p>
        </w:tc>
        <w:tc>
          <w:tcPr>
            <w:tcW w:type="dxa" w:w="21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시행</w:t>
            </w:r>
          </w:p>
        </w:tc>
      </w:tr>
      <w:t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소방</w:t>
            </w:r>
          </w:p>
        </w:tc>
        <w:tc>
          <w:tcPr>
            <w:tcW w:type="dxa" w:w="58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건축허가동의 대상 확대 — 공동주택 명시적 포함</w:t>
            </w:r>
          </w:p>
        </w:tc>
        <w:tc>
          <w:tcPr>
            <w:tcW w:type="dxa" w:w="2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 시행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소방</w:t>
            </w:r>
          </w:p>
        </w:tc>
        <w:tc>
          <w:tcPr>
            <w:tcW w:type="dxa" w:w="58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간이스프링클러 설치기준 신설·강화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2024.12.01 시행</w:t>
            </w:r>
          </w:p>
        </w:tc>
      </w:tr>
      <w:t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소방</w:t>
            </w:r>
          </w:p>
        </w:tc>
        <w:tc>
          <w:tcPr>
            <w:tcW w:type="dxa" w:w="58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전기저장시설(ESS) 화재안전기준 강화</w:t>
            </w:r>
          </w:p>
        </w:tc>
        <w:tc>
          <w:tcPr>
            <w:tcW w:type="dxa" w:w="2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소방</w:t>
            </w:r>
          </w:p>
        </w:tc>
        <w:tc>
          <w:tcPr>
            <w:tcW w:type="dxa" w:w="58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연립·다세대주택 스프링클러 의무 확대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건축</w:t>
            </w:r>
          </w:p>
        </w:tc>
        <w:tc>
          <w:tcPr>
            <w:tcW w:type="dxa" w:w="58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대피공간·피난시설 기준 보완</w:t>
            </w:r>
          </w:p>
        </w:tc>
        <w:tc>
          <w:tcPr>
            <w:tcW w:type="dxa" w:w="2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건축</w:t>
            </w:r>
          </w:p>
        </w:tc>
        <w:tc>
          <w:tcPr>
            <w:tcW w:type="dxa" w:w="58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방화구획·내화구조 세부기준 강화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건축</w:t>
            </w:r>
          </w:p>
        </w:tc>
        <w:tc>
          <w:tcPr>
            <w:tcW w:type="dxa" w:w="58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무량판 구조 안전관리 강화</w:t>
            </w:r>
          </w:p>
        </w:tc>
        <w:tc>
          <w:tcPr>
            <w:tcW w:type="dxa" w:w="2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2023년 이후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건축</w:t>
            </w:r>
          </w:p>
        </w:tc>
        <w:tc>
          <w:tcPr>
            <w:tcW w:type="dxa" w:w="58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전기차 충전시설 화재 대응기준 강화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건축</w:t>
            </w:r>
          </w:p>
        </w:tc>
        <w:tc>
          <w:tcPr>
            <w:tcW w:type="dxa" w:w="58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에너지절약 설계기준 단계적 강화</w:t>
            </w:r>
          </w:p>
        </w:tc>
        <w:tc>
          <w:tcPr>
            <w:tcW w:type="dxa" w:w="2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본 아파트는 2022.05.16 사업계획승인을 받았으므로, 원칙적으로 대부분의 소방·건축 설비기준은 승인 당시 기준이 유지되며 사용승인 시 현행 기준으로 전면 재설계를 요구받지 않습니다. 다만 지하주차장 확대, 전기차 충전구역 추가, 소방설비 재배치 등 별도 변경승인을 받은 부분이 있다면 그 부분에 한해 최신 기준이 적용될 수 있습니다. 변경승인 이력 존재 여부 및 해당 범위를 시행사에 서면 확인 요청합니다.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3-3. 커뮤니티시설·근린생활시설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“CLUB XIAN은 입주지정기간 경과 후 관리주체에서 운영하게 되며... 운동기구는 준공 후 입주지정기간이 종료된 이후 설치 될 수도 있음을 알려드립니다.”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피트니스·골프연습장·사우나 등은 입주와 동시 운영이 아니라 순차 운영됩니다. 정확한 개장 일정 서면 사전공지 요청.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“106동 인근에 근린생활시설 부속시설물(에어컨실외기, 배기팬, 설비시설 등)이... 쓰레기 분리수거장은... 106동에 인접하여 냄새 및 소음, 분진이 발생할 수 있습니다.”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106동 집중 리스크입니다(위 3-1 매트릭스 참조). 업종 제한(특히 음식점) 협의 및 설비 위치 사전공유 요청.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3-4. 기타 확인사항 (참고, 낮은 비중)</w:t>
      </w:r>
    </w:p>
    <w:p>
      <w:pPr>
        <w:spacing w:after="120"/>
      </w:pPr>
      <w:r>
        <w:rPr>
          <w:i/>
          <w:iCs/>
          <w:color w:val="595959"/>
          <w:sz w:val="19"/>
          <w:szCs w:val="19"/>
        </w:rPr>
        <w:t xml:space="preserve">아래는 계약 실효성에 큰 영향은 없으나, 단지별로 조건이 다를 수 있어 전수조사 차원에서 확인한 항목입니다.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900"/>
        <w:gridCol w:w="2650"/>
      </w:tblGrid>
      <w:tr>
        <w:tc>
          <w:tcPr>
            <w:tcW w:type="dxa" w:w="18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6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확인사항</w:t>
            </w:r>
          </w:p>
        </w:tc>
      </w:tr>
      <w:tr>
        <w:tc>
          <w:tcPr>
            <w:tcW w:type="dxa" w:w="18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시행 신탁구조</w:t>
            </w:r>
          </w:p>
        </w:tc>
        <w:tc>
          <w:tcPr>
            <w:tcW w:type="dxa" w:w="4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시행수탁자 교보자산신탁은 하자보수 책임 없음. 신탁재산 한도 초과분은 시행위탁자 ㈜고은건설이 부담</w:t>
            </w:r>
          </w:p>
        </w:tc>
        <w:tc>
          <w:tcPr>
            <w:tcW w:type="dxa" w:w="2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시행사 재무상태는 별도 확인 권장(참고용)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셔틀버스 지원</w:t>
            </w:r>
          </w:p>
        </w:tc>
        <w:tc>
          <w:tcPr>
            <w:tcW w:type="dxa" w:w="4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점촌 시내 셔틀버스 1년 한시 지원 후 입주자대표회의 자체비용 연장</w:t>
            </w:r>
          </w:p>
        </w:tc>
        <w:tc>
          <w:tcPr>
            <w:tcW w:type="dxa" w:w="2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1년 후 비용 부담 주체임을 사전 인지 필요</w:t>
            </w:r>
          </w:p>
        </w:tc>
      </w:tr>
      <w:tr>
        <w:tc>
          <w:tcPr>
            <w:tcW w:type="dxa" w:w="18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영구배수공법</w:t>
            </w:r>
          </w:p>
        </w:tc>
        <w:tc>
          <w:tcPr>
            <w:tcW w:type="dxa" w:w="4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부력방지 배수공법 적용 시 공용 전기세·하수도요금 발생, 관리비 포함 부과</w:t>
            </w:r>
          </w:p>
        </w:tc>
        <w:tc>
          <w:tcPr>
            <w:tcW w:type="dxa" w:w="2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관리비 예상 항목에 반영 필요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관리비예치금</w:t>
            </w:r>
          </w:p>
        </w:tc>
        <w:tc>
          <w:tcPr>
            <w:tcW w:type="dxa" w:w="4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선수관리비 징수·사용은 사업주체·시공사와 무관 명시</w:t>
            </w:r>
          </w:p>
        </w:tc>
        <w:tc>
          <w:tcPr>
            <w:tcW w:type="dxa" w:w="2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입주자대표회의 구성 후 별도 확인 필요</w:t>
            </w:r>
          </w:p>
        </w:tc>
      </w:tr>
    </w:tbl>
    <w:p>
      <w:pPr>
        <w:spacing w:after="200" w:before="60"/>
      </w:pPr>
      <w:r>
        <w:rPr>
          <w:b/>
          <w:bCs/>
          <w:color w:val="595959"/>
          <w:sz w:val="18"/>
          <w:szCs w:val="18"/>
        </w:rPr>
        <w:t xml:space="preserve">[그림 5] 기타 확인사항</w:t>
      </w:r>
      <w:r>
        <w:rPr>
          <w:i/>
          <w:iCs/>
          <w:color w:val="999999"/>
          <w:sz w:val="18"/>
          <w:szCs w:val="18"/>
        </w:rPr>
        <w:t xml:space="preserve">   자료: 상주자이르네 입주자모집공고문 원문</w:t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4부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단지 주변조사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4-1. 주변 편의시설 (카카오맵 기준, 반경 1km)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50"/>
      </w:tblGrid>
      <w:tr>
        <w:tc>
          <w:tcPr>
            <w:tcW w:type="dxa" w:w="2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개소</w:t>
            </w:r>
          </w:p>
        </w:tc>
        <w:tc>
          <w:tcPr>
            <w:tcW w:type="dxa" w:w="63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대표 시설 (최단거리)</w:t>
            </w:r>
          </w:p>
        </w:tc>
      </w:tr>
      <w:t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대형마트</w:t>
            </w:r>
          </w:p>
        </w:tc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함창농협 하나로마트 (818m)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편의점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GS25 상주함창LH점 (272m)</w:t>
            </w:r>
          </w:p>
        </w:tc>
      </w:tr>
      <w:t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어린이집/유치원</w:t>
            </w:r>
          </w:p>
        </w:tc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함창가온어린이집 (223m)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병원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함창치과의원 (599m)</w:t>
            </w:r>
          </w:p>
        </w:tc>
      </w:tr>
      <w:t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약국</w:t>
            </w:r>
          </w:p>
        </w:tc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중앙약국 (690m)</w:t>
            </w:r>
          </w:p>
        </w:tc>
      </w:tr>
    </w:tbl>
    <w:p>
      <w:pPr>
        <w:spacing w:after="200" w:before="60"/>
      </w:pPr>
      <w:r>
        <w:rPr>
          <w:b/>
          <w:bCs/>
          <w:color w:val="595959"/>
          <w:sz w:val="18"/>
          <w:szCs w:val="18"/>
        </w:rPr>
        <w:t xml:space="preserve">[그림 6] 반경 1km 내 생활 편의시설</w:t>
      </w:r>
      <w:r>
        <w:rPr>
          <w:i/>
          <w:iCs/>
          <w:color w:val="999999"/>
          <w:sz w:val="18"/>
          <w:szCs w:val="18"/>
        </w:rPr>
        <w:t xml:space="preserve">   자료: 카카오맵 로컬 API (2026.07.16 조회)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장례식장 2개소(삼성장례컨설팅 729m, 중앙장례식장 955m)가 반경 1km 내 확인되어 참고 안내. 법적 하자 사안은 아니므로 별도 대응 불필요.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4-2. 학군</w:t>
      </w:r>
    </w:p>
    <w:p>
      <w:pPr>
        <w:spacing w:after="120"/>
      </w:pPr>
      <w:r>
        <w:t xml:space="preserve">NEIS(교육정보 개방포털) 공식 확인 결과 및 카카오맵 인접 학교입니다. 학업성취도·서열 데이터는 정책상 공식 비공개이며, 아래는 위치·학교급 등 객관적 사실만 포함합니다.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150"/>
      </w:tblGrid>
      <w:tr>
        <w:tc>
          <w:tcPr>
            <w:tcW w:type="dxa" w:w="1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학교급</w:t>
            </w:r>
          </w:p>
        </w:tc>
        <w:tc>
          <w:tcPr>
            <w:tcW w:type="dxa" w:w="4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학교명</w:t>
            </w:r>
          </w:p>
        </w:tc>
        <w:tc>
          <w:tcPr>
            <w:tcW w:type="dxa" w:w="3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초등학교</w:t>
            </w:r>
          </w:p>
        </w:tc>
        <w:tc>
          <w:tcPr>
            <w:tcW w:type="dxa" w:w="4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함창초등학교 / 함창중앙초등학교</w:t>
            </w:r>
          </w:p>
        </w:tc>
        <w:tc>
          <w:tcPr>
            <w:tcW w:type="dxa" w:w="3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NEIS 공식 확인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중학교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함창중학교 / 상지여자중학교</w:t>
            </w:r>
          </w:p>
        </w:tc>
        <w:tc>
          <w:tcPr>
            <w:tcW w:type="dxa" w:w="3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NEIS 공식 확인 / 카카오맵 394m</w:t>
            </w:r>
          </w:p>
        </w:tc>
      </w:tr>
      <w:tr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고등학교</w:t>
            </w:r>
          </w:p>
        </w:tc>
        <w:tc>
          <w:tcPr>
            <w:tcW w:type="dxa" w:w="4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함창고등학교 / 상지미래경영고등학교</w:t>
            </w:r>
          </w:p>
        </w:tc>
        <w:tc>
          <w:tcPr>
            <w:tcW w:type="dxa" w:w="3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NEIS 공식 확인 / 카카오맵 399m</w:t>
            </w:r>
          </w:p>
        </w:tc>
      </w:tr>
    </w:tbl>
    <w:p>
      <w:pPr>
        <w:spacing w:after="200" w:before="60"/>
      </w:pPr>
      <w:r>
        <w:rPr>
          <w:b/>
          <w:bCs/>
          <w:color w:val="595959"/>
          <w:sz w:val="18"/>
          <w:szCs w:val="18"/>
        </w:rPr>
        <w:t xml:space="preserve">[그림 7] 함창읍 소재 초·중·고 현황</w:t>
      </w:r>
      <w:r>
        <w:rPr>
          <w:i/>
          <w:iCs/>
          <w:color w:val="999999"/>
          <w:sz w:val="18"/>
          <w:szCs w:val="18"/>
        </w:rPr>
        <w:t xml:space="preserve">   자료: NEIS 교육정보 개방포털 + 카카오맵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4-3. 인근 시세 (국토부 실거래가, 2026.01~06 함창읍)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900"/>
        <w:gridCol w:w="2450"/>
      </w:tblGrid>
      <w:tr>
        <w:tc>
          <w:tcPr>
            <w:tcW w:type="dxa" w:w="3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단지명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준공연도</w:t>
            </w:r>
          </w:p>
        </w:tc>
        <w:tc>
          <w:tcPr>
            <w:tcW w:type="dxa" w:w="1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전용면적</w:t>
            </w:r>
          </w:p>
        </w:tc>
        <w:tc>
          <w:tcPr>
            <w:tcW w:type="dxa" w:w="24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거래가</w:t>
            </w:r>
          </w:p>
        </w:tc>
      </w:tr>
      <w:tr>
        <w:tc>
          <w:tcPr>
            <w:tcW w:type="dxa" w:w="3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상주함창엘에이치천년나무2단지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2016</w:t>
            </w:r>
          </w:p>
        </w:tc>
        <w:tc>
          <w:tcPr>
            <w:tcW w:type="dxa" w:w="1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67.86㎡</w:t>
            </w:r>
          </w:p>
        </w:tc>
        <w:tc>
          <w:tcPr>
            <w:tcW w:type="dxa" w:w="24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2.8억~2.9억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상주함창엘에이치천년나무2단지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2016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74.94㎡</w:t>
            </w:r>
          </w:p>
        </w:tc>
        <w:tc>
          <w:tcPr>
            <w:tcW w:type="dxa" w:w="2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2.6억</w:t>
            </w:r>
          </w:p>
        </w:tc>
      </w:tr>
      <w:tr>
        <w:tc>
          <w:tcPr>
            <w:tcW w:type="dxa" w:w="3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녹원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1993</w:t>
            </w:r>
          </w:p>
        </w:tc>
        <w:tc>
          <w:tcPr>
            <w:tcW w:type="dxa" w:w="1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84.29㎡</w:t>
            </w:r>
          </w:p>
        </w:tc>
        <w:tc>
          <w:tcPr>
            <w:tcW w:type="dxa" w:w="24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0.73억</w:t>
            </w:r>
          </w:p>
        </w:tc>
      </w:tr>
    </w:tbl>
    <w:p>
      <w:pPr>
        <w:spacing w:after="200" w:before="60"/>
      </w:pPr>
      <w:r>
        <w:rPr>
          <w:b/>
          <w:bCs/>
          <w:color w:val="595959"/>
          <w:sz w:val="18"/>
          <w:szCs w:val="18"/>
        </w:rPr>
        <w:t xml:space="preserve">[그림 8] 함창읍 아파트 실거래 현황</w:t>
      </w:r>
      <w:r>
        <w:rPr>
          <w:i/>
          <w:iCs/>
          <w:color w:val="999999"/>
          <w:sz w:val="18"/>
          <w:szCs w:val="18"/>
        </w:rPr>
        <w:t xml:space="preserve">   자료: 국토교통부 실거래가 공개시스템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함창읍 내 가장 최근 준공 단지(2016년 천년나무2단지) 대비 신축·평면·커뮤니티 시설 수준을 감안한 분양가 참고자료로 안내.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4-4. 분양보증·등기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“주택도시보증공사 보증서 번호 제 01282026-101-0001300호, 보증금액 246,667,915,000원, 보증기간 입주자모집공고승인일로부터 소유권보존등기일까지”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분양보증(HUG)이 정상 확인되어 양호합니다. 다만 소유권보존등기(특히 대지 이전등기)는 지적공부정리 절차 등으로 지연될 수 있다고 명시되어 있어, 등기 일정은 입주 이후 별도 확인 필요.</w:t>
      </w:r>
    </w:p>
    <w:p>
      <w:r>
        <w:br w:type="page"/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부록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총정리 (별도 배포용)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/>
      </w:pPr>
      <w:r>
        <w:t xml:space="preserve">본 페이지만 별도로 출력·배포해 협의회 회의자료로 활용할 수 있습니다.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750"/>
        <w:gridCol w:w="4650"/>
        <w:gridCol w:w="1600"/>
      </w:tblGrid>
      <w:tr>
        <w:tc>
          <w:tcPr>
            <w:tcW w:type="dxa" w:w="13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17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46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1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우선순위</w:t>
            </w:r>
          </w:p>
        </w:tc>
      </w:tr>
      <w:tr>
        <w:tc>
          <w:tcPr>
            <w:tcW w:type="dxa" w:w="1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독소조항</w:t>
            </w:r>
          </w:p>
        </w:tc>
        <w:tc>
          <w:tcPr>
            <w:tcW w:type="dxa" w:w="1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배관노출 소음 면책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하자담보책임 배제 — 약관법 제7조·공동주택관리법 제36조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1순위</w:t>
            </w:r>
          </w:p>
        </w:tc>
      </w:tr>
      <w:tr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독소조항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설계변경 동의간주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통보·동의 없이 임의 인허가 — 약관법 제10·12조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1순위</w:t>
            </w:r>
          </w:p>
        </w:tc>
      </w:tr>
      <w:tr>
        <w:tc>
          <w:tcPr>
            <w:tcW w:type="dxa" w:w="1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독소조항</w:t>
            </w:r>
          </w:p>
        </w:tc>
        <w:tc>
          <w:tcPr>
            <w:tcW w:type="dxa" w:w="1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지체상금 면제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귀책사유 불문 이의제기·지체상금 배제 — 약관법 제7조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1순위</w:t>
            </w:r>
          </w:p>
        </w:tc>
      </w:tr>
      <w:tr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독소조항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공용시설 임의변경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이의제기 금지 — 약관법 제10·14조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1순위</w:t>
            </w:r>
          </w:p>
        </w:tc>
      </w:tr>
      <w:tr>
        <w:tc>
          <w:tcPr>
            <w:tcW w:type="dxa" w:w="1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독소조항</w:t>
            </w:r>
          </w:p>
        </w:tc>
        <w:tc>
          <w:tcPr>
            <w:tcW w:type="dxa" w:w="1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조경 하자책임 면제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고사원인 불문 시공사 면책 — 약관법 제7조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2순위</w:t>
            </w:r>
          </w:p>
        </w:tc>
      </w:tr>
      <w:tr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독소조항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위약금+대납이자 이중부담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과도한 손해배상액 예정 소지 — 약관법 제8조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2순위</w:t>
            </w:r>
          </w:p>
        </w:tc>
      </w:tr>
      <w:tr>
        <w:tc>
          <w:tcPr>
            <w:tcW w:type="dxa" w:w="1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독소조항</w:t>
            </w:r>
          </w:p>
        </w:tc>
        <w:tc>
          <w:tcPr>
            <w:tcW w:type="dxa" w:w="1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유상옵션 해제권 박탈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중도금납부 후 해제 전면금지 — 약관법 제9조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2순위</w:t>
            </w:r>
          </w:p>
        </w:tc>
      </w:tr>
      <w:tr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독소조항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분양조건 차이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이의제기 금지 — 약관법 제11·14조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3순위</w:t>
            </w:r>
          </w:p>
        </w:tc>
      </w:tr>
      <w:tr>
        <w:tc>
          <w:tcPr>
            <w:tcW w:type="dxa" w:w="1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동별유의</w:t>
            </w:r>
          </w:p>
        </w:tc>
        <w:tc>
          <w:tcPr>
            <w:tcW w:type="dxa" w:w="1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101동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발전기·전기실·급기DA 소음 (저층)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1순위</w:t>
            </w:r>
          </w:p>
        </w:tc>
      </w:tr>
      <w:tr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동별유의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102동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사우나 배기·CLUB CLOUD 소음 (지하1층·최상층)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1순위</w:t>
            </w:r>
          </w:p>
        </w:tc>
      </w:tr>
      <w:tr>
        <w:tc>
          <w:tcPr>
            <w:tcW w:type="dxa" w:w="1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동별유의</w:t>
            </w:r>
          </w:p>
        </w:tc>
        <w:tc>
          <w:tcPr>
            <w:tcW w:type="dxa" w:w="1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106동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근생 인접 사생활·실외기·쓰레기장·급배기DA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1순위</w:t>
            </w:r>
          </w:p>
        </w:tc>
      </w:tr>
      <w:tr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동별유의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103동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외부EV 소음·진동 (북측외벽)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2순위</w:t>
            </w:r>
          </w:p>
        </w:tc>
      </w:tr>
      <w:tr>
        <w:tc>
          <w:tcPr>
            <w:tcW w:type="dxa" w:w="1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개선요구</w:t>
            </w:r>
          </w:p>
        </w:tc>
        <w:tc>
          <w:tcPr>
            <w:tcW w:type="dxa" w:w="1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구조형식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무량판 여부 미기재 → 구조계산서 공개 요청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1순위</w:t>
            </w:r>
          </w:p>
        </w:tc>
      </w:tr>
      <w:tr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개선요구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층간소음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중량충격음 4등급(법인 자체확인) → 차음재 상향시공 요청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1순위</w:t>
            </w:r>
          </w:p>
        </w:tc>
      </w:tr>
      <w:tr>
        <w:tc>
          <w:tcPr>
            <w:tcW w:type="dxa" w:w="1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개선요구</w:t>
            </w:r>
          </w:p>
        </w:tc>
        <w:tc>
          <w:tcPr>
            <w:tcW w:type="dxa" w:w="1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에너지효율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공고문에 등급 수치 미기재 → 예비인증서 공개 요청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1순위</w:t>
            </w:r>
          </w:p>
        </w:tc>
      </w:tr>
      <w:tr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개선요구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커뮤니티시설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CLUB XIAN 개장일정 사전공지 요청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1순위</w:t>
            </w:r>
          </w:p>
        </w:tc>
      </w:tr>
      <w:tr>
        <w:tc>
          <w:tcPr>
            <w:tcW w:type="dxa" w:w="1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개선요구</w:t>
            </w:r>
          </w:p>
        </w:tc>
        <w:tc>
          <w:tcPr>
            <w:tcW w:type="dxa" w:w="1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소방시설(2022이후 변경분)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간이스프링클러·ESS·무량판 등 변경승인 이력 확인 요청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1순위</w:t>
            </w:r>
          </w:p>
        </w:tc>
      </w:tr>
      <w:tr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개선요구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소방시설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완비증명서·화재안전기준 적용판 공개 요청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2순위</w:t>
            </w:r>
          </w:p>
        </w:tc>
      </w:tr>
      <w:tr>
        <w:tc>
          <w:tcPr>
            <w:tcW w:type="dxa" w:w="1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개선요구</w:t>
            </w:r>
          </w:p>
        </w:tc>
        <w:tc>
          <w:tcPr>
            <w:tcW w:type="dxa" w:w="1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대출규제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LTV만 적용, 공고문에 기준 미명시 → 명시 요청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2순위</w:t>
            </w:r>
          </w:p>
        </w:tc>
      </w:tr>
      <w:tr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개선요구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내진성능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확인서·적용기준(KDS) 공개 요청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3순위</w:t>
            </w:r>
          </w:p>
        </w:tc>
      </w:tr>
      <w:tr>
        <w:tc>
          <w:tcPr>
            <w:tcW w:type="dxa" w:w="1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참고사항</w:t>
            </w:r>
          </w:p>
        </w:tc>
        <w:tc>
          <w:tcPr>
            <w:tcW w:type="dxa" w:w="1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신탁구조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시행수탁자 하자보수 면책, 초과분은 고은건설 부담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참고</w:t>
            </w:r>
          </w:p>
        </w:tc>
      </w:tr>
      <w:tr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참고사항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셔틀버스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1년 한시지원 후 입주자대표회의 비용전환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참고</w:t>
            </w:r>
          </w:p>
        </w:tc>
      </w:tr>
      <w:tr>
        <w:tc>
          <w:tcPr>
            <w:tcW w:type="dxa" w:w="1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양호확인</w:t>
            </w:r>
          </w:p>
        </w:tc>
        <w:tc>
          <w:tcPr>
            <w:tcW w:type="dxa" w:w="1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분양보증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HUG 보증서 정상 확인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양호확인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전기차충전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58대, 법정비율(5%) 상회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999999"/>
        <w:sz w:val="16"/>
        <w:szCs w:val="16"/>
      </w:rPr>
      <w:t xml:space="preserve">상주자이르네 검토보고서 · 법무법인제이엘</w:t>
    </w:r>
    <w:r>
      <w:rPr>
        <w:color w:val="999999"/>
        <w:sz w:val="16"/>
        <w:szCs w:val="16"/>
      </w:rPr>
      <w:t xml:space="preserve">	2026 · 입주예정자협의회 배포용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1287e1705facc33c09355b88d7738727a4d890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2026-07-22T01:19:29.272Z</dcterms:created>
  <dcterms:modified xsi:type="dcterms:W3CDTF">2026-07-22T01:19:29.274Z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