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e편한세상 부천 어반스퀘어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부천시 원미구 소사동 48-21번지 일원 (소사3구역)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소사3구역 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DL이앤씨㈜ · 롯데건설㈜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3층~지상 38층, 13개동, 총 1,649세대(일반분양 897세대)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10월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2026.07.24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입주자모집공고문 원문 및 사업주체가 배포한 분양홍보물, 공개된 공공데이터(카카오맵, 학교알리미)를 직접 대조하여 작성되었습니다. 홍보물 상의 조감도·CG·이미지컷은 실제와 차이가 있을 수 있다는 사업주체의 고지사항이 있으므로, 세부 사항은 계약 전 반드시 사업주체에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 및 분양홍보물을 원문 대조 방식으로 전수 검토한 결과, 계약 전 입주예정자협의회 차원에서 사업주체에 사전 확인 및 개선을 요청할 실익이 있는 사항을 아래와 같이 선별하였습니다. 통상적인 시공관행 수준의 정형적 면책조항(서비스면적 오차, 마감재 미세 변경 등)은 실익이 낮아 제외하였습니다.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단지 인접 환경(소음·조망)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서측 소사성당, 남측 철로·옹벽 인접 — 101동, 105~107동 직접 영향권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부대비용 전가 조항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커뮤니티·수경시설·경관조명·신재생에너지 등 유지관리비 전액 입주자 부담, 산정근거 미공개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근린생활·판매시설 동선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101동, 301·302동 인근 주차장이 공동주택 주차장과 미분리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통학환경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인근 중·고교가 사립 여학교로 특화 — 남학생 배정교는 별도 확인 필요</w:t>
            </w:r>
          </w:p>
        </w:tc>
      </w:tr>
      <w:tr>
        <w:trPr>
          <w:cantSplit/>
        </w:trPr>
        <w:tc>
          <w:tcPr>
            <w:tcW w:type="dxa" w:w="2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분양보증·시공 안정성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정상 분양보증, DL이앤씨 신용등급 AA-(2025년 기준, 자체 공시)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부대시설 유지관리비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“부대시설, 주민공동시설, 저수조, 배수조 등 입주 후 유지/보수/관리에 관한 일체의 비용은 입주자가 부담하여야 하며, 시설물에 대한 계획은 다소 변경될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부대시설별 예상 유지관리비 산정근거(항목·연간 예상금액)를 입주 전 입주예정자협의회에 사전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경관조명·수경시설 비용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“향후 경관조명이 설치 또는 변경될 수 있으며, 발생되는 유지/보수/관리에 관한 일체의 비용은 입주자가 부담하여야 하며, 일부 세대는 경관조명으로 인해 눈부심이 발생할 수도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경관조명 설계 시 저층부 세대의 눈부심 저감 방안(각도 조정, 차광판 등)을 반영하고, 수경시설 유지비 항목을 관리비 내역에 별도 표기해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신재생에너지 유지비 공용관리비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“신재생에너지 시스템의 운영 및 유지관리를 위한 비용은 공용관리비로 부과되며 이에 이의를 제기할 수 없습니다.”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신재생에너지 설비의 종류·용량과 예상 연간 유지비를 입주 전 공개하고, 향후 관리비 고지 시 별도 항목으로 구분 표기해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근린생활·판매시설 주차장 미분리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공동주택은 1단지(3-1BL)에 근린생활시설과 2단지(3-2,3-3BL)에 판매시설이 계획되어 있으며 근린생활시설과 판매시설은 특성상 위치, 크기, 동선 등의 설계변경이 있을 수 있으며 입주자는 이에 이의를 제기할 수 없습니다.”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근린생활시설(101동 인근, 10대)·판매시설(301·302동 인근, 31대) 전용 주차장과 공동주택 주차장 간 동선·차단기 운영계획을 입주 전 공개하여 생활권 침해 우려를 해소해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05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전기차 충전구역 이용 형평성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지하주차장에는 전기 자동차 충전시설이 설치되며(지하1층, 지하2층), 각 주동 공용홀로부터 접근 및 이용(전기 자동차외 주차금지 등)의 형평성이 맞지 않더라도 이에 대한 이의를 제기할 수 없습니다.”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전기차 미보유 세대의 접근성이 과도하게 불리하지 않도록 충전구역 배치 시 동별 형평성을 고려해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06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세대창고 운영기준 미정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“지하층에 설치된 세대창고는 각 세대별 사용공간이 분리되어 있지 않으며, 운영방식은 입주 후 입주자 대표회의를 통해 결정되며, 이와 관련하여 이의를 제기할 수 없습니다.”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세대창고 배정·이용 기준(안)을 입주 전 미리 마련하여 입주자대표회의 구성 초기 혼선을 줄여줄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07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도시가스 계량기 교체비용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“당 현장은 도시가스 원격검침계량기(원격검침 설치 시, 검침데이터를 도시가스사에 제공합니다)가 설치되는 아파트로 교체 비용은 가스 사용자가 부담하여야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원격검침계량기의 내구연한 및 향후 교체 예상비용 규모를 사전에 안내해 줄 것을 요청합니다.</w:t>
            </w:r>
          </w:p>
        </w:tc>
      </w:tr>
    </w:tbl>
    <w:p>
      <w:pPr>
        <w:keepLines/>
        <w:spacing w:after="120" w:line="276" w:lineRule="auto"/>
      </w:pPr>
      <w:r>
        <w:t xml:space="preserve">참고사항: 입주지정일은 천재지변·전염병·정부정책 변경 등 불가항력 사유 발생 시 지체상금 지급 대상에서 제외될 수 있습니다 (2029년 10월 예정, 정확한 일자는 추후 통보).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조망·일조·소음 영향을 개별적으로 명시하고 있습니다. 아래 단지배치도를 기준으로 각 동의 위치별 유의사항을 정리하였습니다.</w:t>
      </w:r>
    </w:p>
    <w:p>
      <w:pPr>
        <w:jc w:val="center"/>
      </w:pPr>
      <w:r>
        <w:drawing>
          <wp:inline distT="0" distB="0" distL="0" distR="0">
            <wp:extent cx="5600700" cy="394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단지배치도 (3-1BL: 101~107동 / 3-2·3-3BL: 201~204·301·302동)</w:t>
      </w:r>
      <w:r>
        <w:rPr>
          <w:i/>
          <w:iCs/>
          <w:color w:val="999999"/>
          <w:sz w:val="18"/>
          <w:szCs w:val="18"/>
        </w:rPr>
        <w:t xml:space="preserve">   자료: 사업주체 공식 홈페이지 게시 단지배치도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101동 — 서측 소사성당 인접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서측 종교시설(소사성당) 위치, 단지 남측 철로 및 옹벽 위치로 조망권, 일조권, 소음, 진동 등 피해가 발생할 수 있으니, 사전에 단지 주변현황을 확인하신 후 청약 및 계약을 체결하여야 하며, 이와 관련하여 사업주체 및 시공사의 귀책사유가 없고, 이에 대한 이의를 제기할 수 없습니다.”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101동 서측 세대에 대해 방음창호 사양 상향 또는 차음성능이 강화된 조경 식재 배치를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105·106·107동 — 남측 철로·옹벽 인접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주변도로의 방음벽 미설치로 인하여 소음이 발생할 수 있으므로 계약 시 반드시 확인하시고 추후 이의를 제기할 수 없습니다.”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남측 철로에 인접한 105~107동 저층부에 대해 방음벽 설치 계획 여부를 사전에 공개하고, 없을 경우 세대 창호 차음 성능을 상향해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단지 경계부 레벨차 및 배수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인접 경계부와 외부공간 간에 레벨 차이가 있어 단차가 발생될 수 있으며, 단차 부위는 사면처리 또는 옹벽, 조경석, 산석 등이 설치될 예정이며, 이는 현장여건에 따라 변경되어 시공될 수 있으며, 추후 이의를 제기할 수 없습니다.”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경계부 단차 처리 방식(사면·옹벽 등) 확정안을 입주 전 공개하고, 우천 시 배수 동선을 사전 점검해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학교알리미 Open API 좌표 데이터를 교차검증하여 입지를 6개 항목으로 평가하였습니다.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소사역(서해선·1호선) 도보 약 205m 더블 역세권, 부천역 약 872m, GTX-B 노선 개통 예정(2031년, 국토부 발표 기준)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8개소, 약국 8개소, 병원·의원 8개소 반경 1km 이내(카카오맵 기준). 대형마트(이마트 부천점)는 약 890m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교육환경(초등)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원미초등학교 약 780m(공립·남녀공학) — 통학거리 다소 원거리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교육환경(중·고)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소명여자중학교 약 471m, 소명여자고등학교 약 482m — 도보권이나 사립 여학교로 남학생은 타 학교 배정 필요, 브로슈어에는 미고지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자연환경·조망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서측 소사성당, 남측 철로·옹벽 인접 동 존재 — 위치에 따라 조망·일조·소음 영향 상이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반경 1km 이내 장례식장 3개소(부천세종병원 약 334m, 부천성모병원 약 408m, 제사식장예향원 약 957m)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시설 위치관계도 (실제 지도)</w:t>
      </w:r>
      <w:r>
        <w:rPr>
          <w:i/>
          <w:iCs/>
          <w:color w:val="999999"/>
          <w:sz w:val="18"/>
          <w:szCs w:val="18"/>
        </w:rPr>
        <w:t xml:space="preserve">   자료: 배경지도 © OpenStreetMap 기여자, 시설 위치·거리 카카오 로컬 API 실측</w:t>
      </w:r>
    </w:p>
    <w:p>
      <w:pPr>
        <w:jc w:val="center"/>
      </w:pPr>
      <w:r>
        <w:drawing>
          <wp:inline distT="0" distB="0" distL="0" distR="0">
            <wp:extent cx="447675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통학 예정 학교 거리 및 남녀공학 여부</w:t>
      </w:r>
      <w:r>
        <w:rPr>
          <w:i/>
          <w:iCs/>
          <w:color w:val="999999"/>
          <w:sz w:val="18"/>
          <w:szCs w:val="18"/>
        </w:rPr>
        <w:t xml:space="preserve">   자료: 학교알리미 Open API 좌표 haversine 계산, 카카오맵 도보거리 교차검증</w:t>
      </w:r>
    </w:p>
    <w:p>
      <w:pPr>
        <w:jc w:val="center"/>
      </w:pPr>
      <w:r>
        <w:drawing>
          <wp:inline distT="0" distB="0" distL="0" distR="0">
            <wp:extent cx="447675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4] 생활 인프라 분포(반경 1km)</w:t>
      </w:r>
      <w:r>
        <w:rPr>
          <w:i/>
          <w:iCs/>
          <w:color w:val="999999"/>
          <w:sz w:val="18"/>
          <w:szCs w:val="18"/>
        </w:rPr>
        <w:t xml:space="preserve">   자료: 카카오맵 로컬 API 조회 결과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소명여중·고가 여학교임을 분양 안내 자료에 명시하지 않고 있어, 자녀의 성별에 따라 통학환경이 달라질 수 있음을 계약 전 고지해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사업주체가 배포한 마감재 사양표(59㎡A/74㎡A/84㎡A, 확장형 기준) 원문을 실별로 정리하였습니다.</w:t>
      </w:r>
    </w:p>
    <w:tbl>
      <w:tblPr>
        <w:tblW w:type="dxa" w:w="92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1700"/>
        <w:gridCol w:w="2400"/>
        <w:gridCol w:w="2500"/>
        <w:gridCol w:w="2650"/>
      </w:tblGrid>
      <w:tr>
        <w:trPr>
          <w:cantSplit/>
        </w:trPr>
        <w:tc>
          <w:tcPr>
            <w:tcW w:type="dxa" w:w="17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공간</w:t>
            </w:r>
          </w:p>
        </w:tc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부위</w:t>
            </w:r>
          </w:p>
        </w:tc>
        <w:tc>
          <w:tcPr>
            <w:tcW w:type="dxa" w:w="25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마감사양(기본품목)</w:t>
            </w:r>
          </w:p>
        </w:tc>
        <w:tc>
          <w:tcPr>
            <w:tcW w:type="dxa" w:w="2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제조사</w:t>
            </w:r>
          </w:p>
        </w:tc>
      </w:tr>
      <w:tr>
        <w:trPr>
          <w:cantSplit/>
        </w:trPr>
        <w:tc>
          <w:tcPr>
            <w:tcW w:type="dxa" w:w="17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현관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 / 디딤판</w:t>
            </w:r>
          </w:p>
        </w:tc>
        <w:tc>
          <w:tcPr>
            <w:tcW w:type="dxa" w:w="25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포세린타일(600x600) / 엔지니어드 스톤</w:t>
            </w:r>
          </w:p>
        </w:tc>
        <w:tc>
          <w:tcPr>
            <w:tcW w:type="dxa" w:w="2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현장발주 / 롯데케미칼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거실·주방·복도</w:t>
            </w:r>
          </w:p>
        </w:tc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 / 창호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광폭 강마루(W:143) / PVC 이중창</w:t>
            </w:r>
          </w:p>
        </w:tc>
        <w:tc>
          <w:tcPr>
            <w:tcW w:type="dxa" w:w="2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이건마루 / LX하우시스</w:t>
            </w:r>
          </w:p>
        </w:tc>
      </w:tr>
      <w:tr>
        <w:trPr>
          <w:cantSplit/>
        </w:trPr>
        <w:tc>
          <w:tcPr>
            <w:tcW w:type="dxa" w:w="17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주방·식당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상판 / 가구도어</w:t>
            </w:r>
          </w:p>
        </w:tc>
        <w:tc>
          <w:tcPr>
            <w:tcW w:type="dxa" w:w="25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MMA 인조대리석(T:24) / 지정 PET</w:t>
            </w:r>
          </w:p>
        </w:tc>
        <w:tc>
          <w:tcPr>
            <w:tcW w:type="dxa" w:w="2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롯데케미칼 / 리바트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욕실1·2</w:t>
            </w:r>
          </w:p>
        </w:tc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위생기구 일체(양변기·세면기·수전)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투피스형 양변기 등</w:t>
            </w:r>
          </w:p>
        </w:tc>
        <w:tc>
          <w:tcPr>
            <w:tcW w:type="dxa" w:w="2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대림바스</w:t>
            </w:r>
          </w:p>
        </w:tc>
      </w:tr>
      <w:tr>
        <w:trPr>
          <w:cantSplit/>
        </w:trPr>
        <w:tc>
          <w:tcPr>
            <w:tcW w:type="dxa" w:w="17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발코니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 / 확장형 창호</w:t>
            </w:r>
          </w:p>
        </w:tc>
        <w:tc>
          <w:tcPr>
            <w:tcW w:type="dxa" w:w="25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자기질타일(300x300) / PVC 이중창</w:t>
            </w:r>
          </w:p>
        </w:tc>
        <w:tc>
          <w:tcPr>
            <w:tcW w:type="dxa" w:w="2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현장발주 / LX하우시스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추가선택품목(미니멀·블랑클래식·내추럴클래식 등)의 정산 산식이 공고문에 요약형으로만 기재되어 있어, 계약 전 세대별 실제 정산 예시(기본품목 감액분 포함)를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DL이앤씨㈜(1단지 포함 전체 시공)와 롯데건설㈜ 컨소시엄입니다. 분양홍보물은 "25년 신용등급 AA-, 4년 연속 하자판정 0건, TOP 10 시공사 중 품질관리 1위"를 자체 인용출처(국토부 하자심사분쟁조정위원회, 2025년 시공능력평가)와 함께 공시하고 있습니다. 해당 수치는 사업주체 발행 홍보자료에 근거한 것으로, 계약 전 원출처 공시자료를 통해 재확인하실 것을 권장합니다.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— 사업주체 부도·파산 시 보증사고 처리 및 사업주체 변경 동의 조항 있음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내진성능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내진중요도 Ⅰ등급, 내진능력 Ⅶ-0.204g(수정 메르칼리 진동등급 기준)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주차대수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2,196대(공동주택 2,155대, 근린생활시설 10대, 판매시설 31대)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공기질 관리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웨더스테이션, 통합 공기질 센서, 환기연동 렌지후드 등 스마트 클린&amp;케어 솔루션 적용(홍보물 기재)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이미지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홍보물에 "부대시설 내부 이미지 중 일부는 타 단지의 동일시설 이미지컷을 활용"한다는 고지 있음 — 실제 시공 사양과 다를 수 있음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41cf0401c27970c6f42f1140722e5947423ee9.jpg"/><Relationship Id="rId8" Type="http://schemas.openxmlformats.org/officeDocument/2006/relationships/image" Target="media/88d1a789e4ae9d579900a962c8d742a4eedf4b59.png"/><Relationship Id="rId9" Type="http://schemas.openxmlformats.org/officeDocument/2006/relationships/image" Target="media/c4820c21f40d8827b012633800d58b65c6761631.png"/><Relationship Id="rId10" Type="http://schemas.openxmlformats.org/officeDocument/2006/relationships/image" Target="media/8fe75617bca9cdca370d733d45a6f5bd2271a35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2026-07-31T00:05:51.263Z</dcterms:created>
  <dcterms:modified xsi:type="dcterms:W3CDTF">2026-07-31T00:05:51.264Z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