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9B3C" w:sz="32"/>
        </w:pBdr>
        <w:shd w:fill="1F3864" w:val="clear"/>
        <w:spacing w:after="0" w:before="0"/>
      </w:pPr>
      <w:r>
        <w:t xml:space="preserve">  </w:t>
      </w:r>
    </w:p>
    <w:p>
      <w:pPr>
        <w:spacing w:after="60" w:before="300"/>
      </w:pPr>
      <w:r>
        <w:rPr>
          <w:b/>
          <w:bCs/>
          <w:color w:val="1F3864"/>
          <w:sz w:val="46"/>
          <w:szCs w:val="46"/>
        </w:rPr>
        <w:t xml:space="preserve">동탄 파라곤3차</w:t>
      </w:r>
    </w:p>
    <w:p>
      <w:pPr>
        <w:spacing w:after="240"/>
      </w:pPr>
      <w:r>
        <w:rPr>
          <w:b/>
          <w:bCs/>
          <w:color w:val="1F3864"/>
          <w:sz w:val="32"/>
          <w:szCs w:val="32"/>
        </w:rPr>
        <w:t xml:space="preserve">공공지원민간임대주택 임차인모집공고 검토보고서</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2200"/>
        <w:gridCol w:w="7150"/>
      </w:tblGrid>
      <w:tr>
        <w:trPr>
          <w:cantSplit/>
        </w:trPr>
        <w:tc>
          <w:tcPr>
            <w:tcW w:type="dxa" w:w="2200"/>
            <w:shd w:fill="1F3864" w:val="clear"/>
            <w:tcMar>
              <w:top w:type="dxa" w:w="90"/>
              <w:left w:type="dxa" w:w="120"/>
              <w:bottom w:type="dxa" w:w="90"/>
              <w:right w:type="dxa" w:w="120"/>
            </w:tcMar>
            <w:vAlign w:val="center"/>
          </w:tcPr>
          <w:p>
            <w:pPr>
              <w:jc w:val="left"/>
            </w:pPr>
            <w:r>
              <w:rPr>
                <w:b/>
                <w:bCs/>
                <w:color w:val="FFFFFF"/>
                <w:sz w:val="20"/>
                <w:szCs w:val="20"/>
              </w:rPr>
              <w:t xml:space="preserve">구분</w:t>
            </w:r>
          </w:p>
        </w:tc>
        <w:tc>
          <w:tcPr>
            <w:tcW w:type="dxa" w:w="71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공급위치</w:t>
            </w:r>
          </w:p>
        </w:tc>
        <w:tc>
          <w:tcPr>
            <w:tcW w:type="dxa" w:w="7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경기도 화성시 동탄2택지개발지구 A58블록</w:t>
            </w:r>
          </w:p>
        </w:tc>
      </w:tr>
      <w:tr>
        <w:trPr>
          <w:cantSplit/>
        </w:trP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사업주체(임대인)</w:t>
            </w:r>
          </w:p>
        </w:tc>
        <w:tc>
          <w:tcPr>
            <w:tcW w:type="dxa" w:w="7150"/>
            <w:tcMar>
              <w:top w:type="dxa" w:w="90"/>
              <w:left w:type="dxa" w:w="120"/>
              <w:bottom w:type="dxa" w:w="90"/>
              <w:right w:type="dxa" w:w="120"/>
            </w:tcMar>
            <w:vAlign w:val="center"/>
          </w:tcPr>
          <w:p>
            <w:pPr>
              <w:jc w:val="left"/>
            </w:pPr>
            <w:r>
              <w:rPr>
                <w:b w:val="false"/>
                <w:bCs w:val="false"/>
                <w:color w:val="000000"/>
                <w:sz w:val="20"/>
                <w:szCs w:val="20"/>
              </w:rPr>
              <w:t xml:space="preserve">㈜바우하우스</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시공사</w:t>
            </w:r>
          </w:p>
        </w:tc>
        <w:tc>
          <w:tcPr>
            <w:tcW w:type="dxa" w:w="7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㈜라인산업</w:t>
            </w:r>
          </w:p>
        </w:tc>
      </w:tr>
      <w:tr>
        <w:trPr>
          <w:cantSplit/>
        </w:trP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공급규모</w:t>
            </w:r>
          </w:p>
        </w:tc>
        <w:tc>
          <w:tcPr>
            <w:tcW w:type="dxa" w:w="7150"/>
            <w:tcMar>
              <w:top w:type="dxa" w:w="90"/>
              <w:left w:type="dxa" w:w="120"/>
              <w:bottom w:type="dxa" w:w="90"/>
              <w:right w:type="dxa" w:w="120"/>
            </w:tcMar>
            <w:vAlign w:val="center"/>
          </w:tcPr>
          <w:p>
            <w:pPr>
              <w:jc w:val="left"/>
            </w:pPr>
            <w:r>
              <w:rPr>
                <w:b w:val="false"/>
                <w:bCs w:val="false"/>
                <w:color w:val="000000"/>
                <w:sz w:val="20"/>
                <w:szCs w:val="20"/>
              </w:rPr>
              <w:t xml:space="preserve">지하2층~지상18~20층, 18개동, 총 1,247세대(일반공급 997세대 · 특별공급 250세대)</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물건 유형</w:t>
            </w:r>
          </w:p>
        </w:tc>
        <w:tc>
          <w:tcPr>
            <w:tcW w:type="dxa" w:w="7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공공지원민간임대주택 — 10년 임대의무기간 종료 후 확정분양가 분양전환(선택형)</w:t>
            </w:r>
          </w:p>
        </w:tc>
      </w:tr>
      <w:tr>
        <w:trPr>
          <w:cantSplit/>
        </w:trP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입주예정</w:t>
            </w:r>
          </w:p>
        </w:tc>
        <w:tc>
          <w:tcPr>
            <w:tcW w:type="dxa" w:w="7150"/>
            <w:tcMar>
              <w:top w:type="dxa" w:w="90"/>
              <w:left w:type="dxa" w:w="120"/>
              <w:bottom w:type="dxa" w:w="90"/>
              <w:right w:type="dxa" w:w="120"/>
            </w:tcMar>
            <w:vAlign w:val="center"/>
          </w:tcPr>
          <w:p>
            <w:pPr>
              <w:jc w:val="left"/>
            </w:pPr>
            <w:r>
              <w:rPr>
                <w:b w:val="false"/>
                <w:bCs w:val="false"/>
                <w:color w:val="000000"/>
                <w:sz w:val="20"/>
                <w:szCs w:val="20"/>
              </w:rPr>
              <w:t xml:space="preserve">2027년 02월 (정확한 일자는 추후 통보)</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작성</w:t>
            </w:r>
          </w:p>
        </w:tc>
        <w:tc>
          <w:tcPr>
            <w:tcW w:type="dxa" w:w="7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법무법인제이엘 · 검토기준일 2026.08.04</w:t>
            </w:r>
          </w:p>
        </w:tc>
      </w:tr>
    </w:tbl>
    <w:p>
      <w:pPr>
        <w:spacing w:after="0" w:before="260"/>
      </w:pPr>
      <w:r>
        <w:t xml:space="preserve"/>
      </w:r>
    </w:p>
    <w:p>
      <w:pPr>
        <w:pBdr>
          <w:top w:val="single" w:color="C89B3C" w:sz="6"/>
          <w:bottom w:val="single" w:color="C89B3C" w:sz="6"/>
          <w:left w:val="single" w:color="C89B3C" w:sz="6"/>
          <w:right w:val="single" w:color="C89B3C" w:sz="6"/>
        </w:pBdr>
        <w:shd w:fill="FFF4E5" w:val="clear"/>
        <w:spacing w:after="100" w:before="100"/>
        <w:ind w:left="100" w:right="100"/>
      </w:pPr>
      <w:r>
        <w:rPr>
          <w:sz w:val="19"/>
          <w:szCs w:val="19"/>
        </w:rPr>
        <w:t xml:space="preserve">본 보고서는 2026.04.16.자 임차인모집공고 변경공고문(2025.06.20.자 최초공고 기준) 원문, 사업주체 공식 분양 홈페이지(the-highest.co.kr) 및 공개된 공공데이터(카카오맵, V-World)를 직접 대조하여 작성되었습니다. 본 물건은 일반 분양 아파트가 아니라 「민간임대주택에 관한 특별법」상 공공지원민간임대주택으로, 확정분양가·우선분양전환권 등 계약의 핵심 조건이 모집공고문 원문이 아닌 별도 공급안내(홈페이지)에서만 확인된다는 특수성이 있어 이 부분을 최우선으로 다룹니다. 세부 사항은 계약 전 사업주체 및 견본주택에 반드시 재확인하시기 바랍니다.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1   </w:t>
            </w:r>
            <w:r>
              <w:rPr>
                <w:b/>
                <w:bCs/>
                <w:color w:val="FFFFFF"/>
                <w:sz w:val="24"/>
                <w:szCs w:val="24"/>
              </w:rPr>
              <w:t xml:space="preserve">최우선 확인사항 요약 — 확정분양가·유주택자 청약·무상옵션</w:t>
            </w:r>
          </w:p>
        </w:tc>
      </w:tr>
    </w:tbl>
    <w:p>
      <w:pPr>
        <w:keepLines/>
        <w:spacing w:after="120" w:line="276" w:lineRule="auto"/>
      </w:pPr>
      <w:r>
        <w:t xml:space="preserve">본 물건은 확정분양가 조건이 실제로 존재하는 공공지원민간임대주택입니다. 다만 그 구체적 금액·조건이 법적 구속력이 가장 강한 모집공고문 원문에는 전혀 기재되어 있지 않고, 사업주체 공식 분양 홈페이지의 공급안내·FAQ에서만 확인된다는 점이 핵심 리스크입니다. 아래는 원문(2026.04.16.자 변경공고, 87,392자 전문 대조) 및 공식 홈페이지(the-highest.co.kr)를 직접 교차 확인한 결과입니다.</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2400"/>
        <w:gridCol w:w="1400"/>
        <w:gridCol w:w="5550"/>
      </w:tblGrid>
      <w:tr>
        <w:trPr>
          <w:cantSplit/>
        </w:trPr>
        <w:tc>
          <w:tcPr>
            <w:tcW w:type="dxa" w:w="24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1400"/>
            <w:shd w:fill="1F3864" w:val="clear"/>
            <w:tcMar>
              <w:top w:type="dxa" w:w="90"/>
              <w:left w:type="dxa" w:w="120"/>
              <w:bottom w:type="dxa" w:w="90"/>
              <w:right w:type="dxa" w:w="120"/>
            </w:tcMar>
            <w:vAlign w:val="center"/>
          </w:tcPr>
          <w:p>
            <w:pPr>
              <w:jc w:val="center"/>
            </w:pPr>
            <w:r>
              <w:rPr>
                <w:b/>
                <w:bCs/>
                <w:color w:val="FFFFFF"/>
                <w:sz w:val="20"/>
                <w:szCs w:val="20"/>
              </w:rPr>
              <w:t xml:space="preserve">평가</w:t>
            </w:r>
          </w:p>
        </w:tc>
        <w:tc>
          <w:tcPr>
            <w:tcW w:type="dxa" w:w="5550"/>
            <w:shd w:fill="1F3864" w:val="clear"/>
            <w:tcMar>
              <w:top w:type="dxa" w:w="90"/>
              <w:left w:type="dxa" w:w="120"/>
              <w:bottom w:type="dxa" w:w="90"/>
              <w:right w:type="dxa" w:w="120"/>
            </w:tcMar>
            <w:vAlign w:val="center"/>
          </w:tcPr>
          <w:p>
            <w:pPr>
              <w:jc w:val="left"/>
            </w:pPr>
            <w:r>
              <w:rPr>
                <w:b/>
                <w:bCs/>
                <w:color w:val="FFFFFF"/>
                <w:sz w:val="20"/>
                <w:szCs w:val="20"/>
              </w:rPr>
              <w:t xml:space="preserve">핵심 근거</w:t>
            </w:r>
          </w:p>
        </w:tc>
      </w:tr>
      <w:tr>
        <w:trPr>
          <w:cantSplit/>
        </w:trPr>
        <w:tc>
          <w:tcPr>
            <w:tcW w:type="dxa" w:w="2400"/>
            <w:shd w:fill="F7F3EA" w:val="clear"/>
            <w:tcMar>
              <w:top w:type="dxa" w:w="90"/>
              <w:left w:type="dxa" w:w="120"/>
              <w:bottom w:type="dxa" w:w="90"/>
              <w:right w:type="dxa" w:w="120"/>
            </w:tcMar>
            <w:vAlign w:val="center"/>
          </w:tcPr>
          <w:p>
            <w:pPr>
              <w:jc w:val="left"/>
            </w:pPr>
            <w:r>
              <w:rPr>
                <w:b/>
                <w:bCs/>
                <w:color w:val="000000"/>
                <w:sz w:val="20"/>
                <w:szCs w:val="20"/>
              </w:rPr>
              <w:t xml:space="preserve">확정분양가 존재 확인</w:t>
            </w:r>
          </w:p>
        </w:tc>
        <w:tc>
          <w:tcPr>
            <w:tcW w:type="dxa" w:w="1400"/>
            <w:shd w:fill="F7F3EA" w:val="clear"/>
            <w:tcMar>
              <w:top w:type="dxa" w:w="90"/>
              <w:left w:type="dxa" w:w="120"/>
              <w:bottom w:type="dxa" w:w="90"/>
              <w:right w:type="dxa" w:w="120"/>
            </w:tcMar>
            <w:vAlign w:val="center"/>
          </w:tcPr>
          <w:p>
            <w:pPr>
              <w:jc w:val="center"/>
            </w:pPr>
            <w:r>
              <w:rPr>
                <w:b/>
                <w:bCs/>
                <w:color w:val="000000"/>
                <w:sz w:val="20"/>
                <w:szCs w:val="20"/>
              </w:rPr>
              <w:t xml:space="preserve">● 확인됨</w:t>
            </w:r>
          </w:p>
        </w:tc>
        <w:tc>
          <w:tcPr>
            <w:tcW w:type="dxa" w:w="5550"/>
            <w:shd w:fill="F7F3EA" w:val="clear"/>
            <w:tcMar>
              <w:top w:type="dxa" w:w="90"/>
              <w:left w:type="dxa" w:w="120"/>
              <w:bottom w:type="dxa" w:w="90"/>
              <w:right w:type="dxa" w:w="120"/>
            </w:tcMar>
            <w:vAlign w:val="center"/>
          </w:tcPr>
          <w:p>
            <w:pPr>
              <w:jc w:val="left"/>
            </w:pPr>
            <w:r>
              <w:rPr>
                <w:b w:val="false"/>
                <w:bCs w:val="false"/>
                <w:color w:val="000000"/>
                <w:sz w:val="19"/>
                <w:szCs w:val="19"/>
              </w:rPr>
              <w:t xml:space="preserve">공식 홈페이지: "우선분양전환형 선택 시 확정분양가는 82타입 7억 8,700만원, 108타입은 10억 3,500만원대" — 계약조건은 단순임대형과 임대+우선분양전환형 두 가지 중 선택</w:t>
            </w:r>
          </w:p>
        </w:tc>
      </w:tr>
      <w:tr>
        <w:trPr>
          <w:cantSplit/>
        </w:trPr>
        <w:tc>
          <w:tcPr>
            <w:tcW w:type="dxa" w:w="2400"/>
            <w:tcMar>
              <w:top w:type="dxa" w:w="90"/>
              <w:left w:type="dxa" w:w="120"/>
              <w:bottom w:type="dxa" w:w="90"/>
              <w:right w:type="dxa" w:w="120"/>
            </w:tcMar>
            <w:vAlign w:val="center"/>
          </w:tcPr>
          <w:p>
            <w:pPr>
              <w:jc w:val="left"/>
            </w:pPr>
            <w:r>
              <w:rPr>
                <w:b/>
                <w:bCs/>
                <w:color w:val="000000"/>
                <w:sz w:val="20"/>
                <w:szCs w:val="20"/>
              </w:rPr>
              <w:t xml:space="preserve">우선분양전환권(옵션) 가격</w:t>
            </w:r>
          </w:p>
        </w:tc>
        <w:tc>
          <w:tcPr>
            <w:tcW w:type="dxa" w:w="1400"/>
            <w:tcMar>
              <w:top w:type="dxa" w:w="90"/>
              <w:left w:type="dxa" w:w="120"/>
              <w:bottom w:type="dxa" w:w="90"/>
              <w:right w:type="dxa" w:w="120"/>
            </w:tcMar>
            <w:vAlign w:val="center"/>
          </w:tcPr>
          <w:p>
            <w:pPr>
              <w:jc w:val="center"/>
            </w:pPr>
            <w:r>
              <w:rPr>
                <w:b/>
                <w:bCs/>
                <w:color w:val="000000"/>
                <w:sz w:val="20"/>
                <w:szCs w:val="20"/>
              </w:rPr>
              <w:t xml:space="preserve">● 확인됨</w:t>
            </w:r>
          </w:p>
        </w:tc>
        <w:tc>
          <w:tcPr>
            <w:tcW w:type="dxa" w:w="5550"/>
            <w:tcMar>
              <w:top w:type="dxa" w:w="90"/>
              <w:left w:type="dxa" w:w="120"/>
              <w:bottom w:type="dxa" w:w="90"/>
              <w:right w:type="dxa" w:w="120"/>
            </w:tcMar>
            <w:vAlign w:val="center"/>
          </w:tcPr>
          <w:p>
            <w:pPr>
              <w:jc w:val="left"/>
            </w:pPr>
            <w:r>
              <w:rPr>
                <w:b w:val="false"/>
                <w:bCs w:val="false"/>
                <w:color w:val="000000"/>
                <w:sz w:val="19"/>
                <w:szCs w:val="19"/>
              </w:rPr>
              <w:t xml:space="preserve">82타입 1,500만원, 108타입 2,500만원 — 이 옵션을 매입해야 확정분양가·분양전환이 적용됨</w:t>
            </w:r>
          </w:p>
        </w:tc>
      </w:tr>
      <w:tr>
        <w:trPr>
          <w:cantSplit/>
        </w:trPr>
        <w:tc>
          <w:tcPr>
            <w:tcW w:type="dxa" w:w="2400"/>
            <w:shd w:fill="F7F3EA" w:val="clear"/>
            <w:tcMar>
              <w:top w:type="dxa" w:w="90"/>
              <w:left w:type="dxa" w:w="120"/>
              <w:bottom w:type="dxa" w:w="90"/>
              <w:right w:type="dxa" w:w="120"/>
            </w:tcMar>
            <w:vAlign w:val="center"/>
          </w:tcPr>
          <w:p>
            <w:pPr>
              <w:jc w:val="left"/>
            </w:pPr>
            <w:r>
              <w:rPr>
                <w:b/>
                <w:bCs/>
                <w:color w:val="000000"/>
                <w:sz w:val="20"/>
                <w:szCs w:val="20"/>
              </w:rPr>
              <w:t xml:space="preserve">분양전환형 선택 시 무상옵션</w:t>
            </w:r>
          </w:p>
        </w:tc>
        <w:tc>
          <w:tcPr>
            <w:tcW w:type="dxa" w:w="1400"/>
            <w:shd w:fill="F7F3EA" w:val="clear"/>
            <w:tcMar>
              <w:top w:type="dxa" w:w="90"/>
              <w:left w:type="dxa" w:w="120"/>
              <w:bottom w:type="dxa" w:w="90"/>
              <w:right w:type="dxa" w:w="120"/>
            </w:tcMar>
            <w:vAlign w:val="center"/>
          </w:tcPr>
          <w:p>
            <w:pPr>
              <w:jc w:val="center"/>
            </w:pPr>
            <w:r>
              <w:rPr>
                <w:b/>
                <w:bCs/>
                <w:color w:val="000000"/>
                <w:sz w:val="20"/>
                <w:szCs w:val="20"/>
              </w:rPr>
              <w:t xml:space="preserve">● 확인됨</w:t>
            </w:r>
          </w:p>
        </w:tc>
        <w:tc>
          <w:tcPr>
            <w:tcW w:type="dxa" w:w="5550"/>
            <w:shd w:fill="F7F3EA" w:val="clear"/>
            <w:tcMar>
              <w:top w:type="dxa" w:w="90"/>
              <w:left w:type="dxa" w:w="120"/>
              <w:bottom w:type="dxa" w:w="90"/>
              <w:right w:type="dxa" w:w="120"/>
            </w:tcMar>
            <w:vAlign w:val="center"/>
          </w:tcPr>
          <w:p>
            <w:pPr>
              <w:jc w:val="left"/>
            </w:pPr>
            <w:r>
              <w:rPr>
                <w:b w:val="false"/>
                <w:bCs w:val="false"/>
                <w:color w:val="000000"/>
                <w:sz w:val="19"/>
                <w:szCs w:val="19"/>
              </w:rPr>
              <w:t xml:space="preserve">공식 홈페이지: "풀옵션이 제공되며 우선분양전환형 선택 시 확정분양가는..." — 시스템에어컨 등 유상옵션 품목이 우선분양전환형 선택 시 무상 제공되는 것으로 안내(세부 품목별 무상 범위는 별도 확인 필요)</w:t>
            </w:r>
          </w:p>
        </w:tc>
      </w:tr>
      <w:tr>
        <w:trPr>
          <w:cantSplit/>
        </w:trPr>
        <w:tc>
          <w:tcPr>
            <w:tcW w:type="dxa" w:w="2400"/>
            <w:tcMar>
              <w:top w:type="dxa" w:w="90"/>
              <w:left w:type="dxa" w:w="120"/>
              <w:bottom w:type="dxa" w:w="90"/>
              <w:right w:type="dxa" w:w="120"/>
            </w:tcMar>
            <w:vAlign w:val="center"/>
          </w:tcPr>
          <w:p>
            <w:pPr>
              <w:jc w:val="left"/>
            </w:pPr>
            <w:r>
              <w:rPr>
                <w:b/>
                <w:bCs/>
                <w:color w:val="000000"/>
                <w:sz w:val="20"/>
                <w:szCs w:val="20"/>
              </w:rPr>
              <w:t xml:space="preserve">유주택자 청약 가능</w:t>
            </w:r>
          </w:p>
        </w:tc>
        <w:tc>
          <w:tcPr>
            <w:tcW w:type="dxa" w:w="1400"/>
            <w:tcMar>
              <w:top w:type="dxa" w:w="90"/>
              <w:left w:type="dxa" w:w="120"/>
              <w:bottom w:type="dxa" w:w="90"/>
              <w:right w:type="dxa" w:w="120"/>
            </w:tcMar>
            <w:vAlign w:val="center"/>
          </w:tcPr>
          <w:p>
            <w:pPr>
              <w:jc w:val="center"/>
            </w:pPr>
            <w:r>
              <w:rPr>
                <w:b/>
                <w:bCs/>
                <w:color w:val="000000"/>
                <w:sz w:val="20"/>
                <w:szCs w:val="20"/>
              </w:rPr>
              <w:t xml:space="preserve">● 확인됨</w:t>
            </w:r>
          </w:p>
        </w:tc>
        <w:tc>
          <w:tcPr>
            <w:tcW w:type="dxa" w:w="5550"/>
            <w:tcMar>
              <w:top w:type="dxa" w:w="90"/>
              <w:left w:type="dxa" w:w="120"/>
              <w:bottom w:type="dxa" w:w="90"/>
              <w:right w:type="dxa" w:w="120"/>
            </w:tcMar>
            <w:vAlign w:val="center"/>
          </w:tcPr>
          <w:p>
            <w:pPr>
              <w:jc w:val="left"/>
            </w:pPr>
            <w:r>
              <w:rPr>
                <w:b w:val="false"/>
                <w:bCs w:val="false"/>
                <w:color w:val="000000"/>
                <w:sz w:val="19"/>
                <w:szCs w:val="19"/>
              </w:rPr>
              <w:t xml:space="preserve">공식 홈페이지 FAQ: "유주택자 신청 가능합니다. 다만 대출조건 등을 확인해야 합니다" — 원문의 "임차인의 자격을 완화하거나 선착순의 방법으로 공급할 수 있다"(시행규칙 제14조의7) 조항이 법적 근거</w:t>
            </w:r>
          </w:p>
        </w:tc>
      </w:tr>
      <w:tr>
        <w:trPr>
          <w:cantSplit/>
        </w:trPr>
        <w:tc>
          <w:tcPr>
            <w:tcW w:type="dxa" w:w="2400"/>
            <w:shd w:fill="FBEAEA" w:val="clear"/>
            <w:tcMar>
              <w:top w:type="dxa" w:w="90"/>
              <w:left w:type="dxa" w:w="120"/>
              <w:bottom w:type="dxa" w:w="90"/>
              <w:right w:type="dxa" w:w="120"/>
            </w:tcMar>
            <w:vAlign w:val="center"/>
          </w:tcPr>
          <w:p>
            <w:pPr>
              <w:jc w:val="left"/>
            </w:pPr>
            <w:r>
              <w:rPr>
                <w:b/>
                <w:bCs/>
                <w:color w:val="000000"/>
                <w:sz w:val="20"/>
                <w:szCs w:val="20"/>
              </w:rPr>
              <w:t xml:space="preserve">모집공고문 원문과의 정보 격차</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5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위 4개 항목의 구체적 수치(확정분양가·우선분양전환권 가격·무상옵션 범위)가 87,392자 원문 전체에 단 한 차례도 등장하지 않음 — 법적 구속력이 가장 강한 문서에 정작 계약의 핵심 조건이 없음</w:t>
            </w:r>
          </w:p>
        </w:tc>
      </w:tr>
      <w:tr>
        <w:trPr>
          <w:cantSplit/>
        </w:trPr>
        <w:tc>
          <w:tcPr>
            <w:tcW w:type="dxa" w:w="2400"/>
            <w:shd w:fill="FBEAEA" w:val="clear"/>
            <w:tcMar>
              <w:top w:type="dxa" w:w="90"/>
              <w:left w:type="dxa" w:w="120"/>
              <w:bottom w:type="dxa" w:w="90"/>
              <w:right w:type="dxa" w:w="120"/>
            </w:tcMar>
            <w:vAlign w:val="center"/>
          </w:tcPr>
          <w:p>
            <w:pPr>
              <w:jc w:val="left"/>
            </w:pPr>
            <w:r>
              <w:rPr>
                <w:b/>
                <w:bCs/>
                <w:color w:val="000000"/>
                <w:sz w:val="20"/>
                <w:szCs w:val="20"/>
              </w:rPr>
              <w:t xml:space="preserve">국토교통부 경고문구 원문 자체 인용</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5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"장래 임대의무기간 경과 후 소유권을 양도하기로 미리 약정하는 것은 관련 법에 근거가 없어 우선변제권 등이 적용되지 않고... 법에 저촉될 수 있음"이라는 국토부 권고를 원문이 스스로 인용 — 확정분양가·우선분양전환권 상품 자체가 이 경고의 적용 대상일 가능성</w:t>
            </w:r>
          </w:p>
        </w:tc>
      </w:tr>
    </w:tbl>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확정분양가·우선분양전환권·무상옵션 조건을 홈페이지 광고에만 두지 말고, 표준임대차계약서 또는 별도 특약서에 명문화하여 법적 구속력을 확보해 줄 것을 요청합니다. 아울러 국토교통부가 경고한 "법 저촉 가능성"에 대해 사업주체의 법률 검토 결과를 서면으로 공개해 줄 것을 요청합니다.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2   </w:t>
            </w:r>
            <w:r>
              <w:rPr>
                <w:b/>
                <w:bCs/>
                <w:color w:val="FFFFFF"/>
                <w:sz w:val="24"/>
                <w:szCs w:val="24"/>
              </w:rPr>
              <w:t xml:space="preserve">확정분양가·분양전환 구조 정밀분석</w:t>
            </w:r>
          </w:p>
        </w:tc>
      </w:tr>
    </w:tbl>
    <w:p>
      <w:pPr>
        <w:keepNext/>
        <w:keepLines/>
        <w:pBdr>
          <w:left w:val="single" w:color="C89B3C" w:sz="18" w:space="6"/>
        </w:pBdr>
        <w:spacing w:after="100" w:before="240" w:line="276" w:lineRule="auto"/>
        <w:ind w:left="80"/>
      </w:pPr>
      <w:r>
        <w:rPr>
          <w:b/>
          <w:bCs/>
          <w:color w:val="1F3864"/>
          <w:sz w:val="22"/>
          <w:szCs w:val="22"/>
        </w:rPr>
        <w:t xml:space="preserve">① 계약 유형과 확정분양가</w:t>
      </w:r>
    </w:p>
    <w:p>
      <w:pPr>
        <w:keepLines/>
        <w:spacing w:after="120" w:line="276" w:lineRule="auto"/>
      </w:pPr>
      <w:r>
        <w:t xml:space="preserve">사업주체 공식 홈페이지(the-highest.co.kr) FAQ는 계약 유형과 확정분양가를 다음과 같이 안내하고 있습니다. 이 내용은 원문(모집공고문)에는 없고 홈페이지에서만 확인됩니다.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“동탄 파라곤 3차는 공공지원 민간임대주택으로 단순임대형과 임대+우선분양전환형으로 나뉘며 우선분양전환권은 82타입 1,500만원, 108타입은 2,500만원입니다. 분양전환형 선택시 확정분양가로 분양전환이 가능합니다.”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“동탄 파라곤 3차의 임대보증금, 월 임대료, 계약금, 납부 조건 등은 공급안내 페이지와 입주자모집공고에서 확인할 수 있습니다. 실제 계약 전에는 금액과 조건이 본인에게 해당되는지 상담을 통해 최종 확인해야 합니다. 우선분양전환형 선택 시 확정분양가는 82타입 7억 8,700만원, 108타입은 10억 3,500만원대 입니다.”</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2000"/>
        <w:gridCol w:w="3550"/>
        <w:gridCol w:w="3800"/>
      </w:tblGrid>
      <w:tr>
        <w:trPr>
          <w:cantSplit/>
        </w:trPr>
        <w:tc>
          <w:tcPr>
            <w:tcW w:type="dxa" w:w="2000"/>
            <w:shd w:fill="1F3864" w:val="clear"/>
            <w:tcMar>
              <w:top w:type="dxa" w:w="90"/>
              <w:left w:type="dxa" w:w="120"/>
              <w:bottom w:type="dxa" w:w="90"/>
              <w:right w:type="dxa" w:w="120"/>
            </w:tcMar>
            <w:vAlign w:val="center"/>
          </w:tcPr>
          <w:p>
            <w:pPr>
              <w:jc w:val="left"/>
            </w:pPr>
            <w:r>
              <w:rPr>
                <w:b/>
                <w:bCs/>
                <w:color w:val="FFFFFF"/>
                <w:sz w:val="20"/>
                <w:szCs w:val="20"/>
              </w:rPr>
              <w:t xml:space="preserve">구분</w:t>
            </w:r>
          </w:p>
        </w:tc>
        <w:tc>
          <w:tcPr>
            <w:tcW w:type="dxa" w:w="3550"/>
            <w:shd w:fill="1F3864" w:val="clear"/>
            <w:tcMar>
              <w:top w:type="dxa" w:w="90"/>
              <w:left w:type="dxa" w:w="120"/>
              <w:bottom w:type="dxa" w:w="90"/>
              <w:right w:type="dxa" w:w="120"/>
            </w:tcMar>
            <w:vAlign w:val="center"/>
          </w:tcPr>
          <w:p>
            <w:pPr>
              <w:jc w:val="left"/>
            </w:pPr>
            <w:r>
              <w:rPr>
                <w:b/>
                <w:bCs/>
                <w:color w:val="FFFFFF"/>
                <w:sz w:val="20"/>
                <w:szCs w:val="20"/>
              </w:rPr>
              <w:t xml:space="preserve">82타입</w:t>
            </w:r>
          </w:p>
        </w:tc>
        <w:tc>
          <w:tcPr>
            <w:tcW w:type="dxa" w:w="3800"/>
            <w:shd w:fill="1F3864" w:val="clear"/>
            <w:tcMar>
              <w:top w:type="dxa" w:w="90"/>
              <w:left w:type="dxa" w:w="120"/>
              <w:bottom w:type="dxa" w:w="90"/>
              <w:right w:type="dxa" w:w="120"/>
            </w:tcMar>
            <w:vAlign w:val="center"/>
          </w:tcPr>
          <w:p>
            <w:pPr>
              <w:jc w:val="left"/>
            </w:pPr>
            <w:r>
              <w:rPr>
                <w:b/>
                <w:bCs/>
                <w:color w:val="FFFFFF"/>
                <w:sz w:val="20"/>
                <w:szCs w:val="20"/>
              </w:rPr>
              <w:t xml:space="preserve">108타입</w:t>
            </w:r>
          </w:p>
        </w:tc>
      </w:tr>
      <w:tr>
        <w:trPr>
          <w:cantSplit/>
        </w:trP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임대보증금(6층이상 기준)</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440,325,000원</w:t>
            </w:r>
          </w:p>
        </w:tc>
        <w:tc>
          <w:tcPr>
            <w:tcW w:type="dxa" w:w="38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554,800,000원 ~ 560,025,000원</w:t>
            </w:r>
          </w:p>
        </w:tc>
      </w:tr>
      <w:tr>
        <w:trPr>
          <w:cantSplit/>
        </w:trPr>
        <w:tc>
          <w:tcPr>
            <w:tcW w:type="dxa" w:w="2000"/>
            <w:tcMar>
              <w:top w:type="dxa" w:w="90"/>
              <w:left w:type="dxa" w:w="120"/>
              <w:bottom w:type="dxa" w:w="90"/>
              <w:right w:type="dxa" w:w="120"/>
            </w:tcMar>
            <w:vAlign w:val="center"/>
          </w:tcPr>
          <w:p>
            <w:pPr>
              <w:jc w:val="left"/>
            </w:pPr>
            <w:r>
              <w:rPr>
                <w:b w:val="false"/>
                <w:bCs w:val="false"/>
                <w:color w:val="000000"/>
                <w:sz w:val="20"/>
                <w:szCs w:val="20"/>
              </w:rPr>
              <w:t xml:space="preserve">우선분양전환권(선택 옵션가)</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15,000,000원</w:t>
            </w:r>
          </w:p>
        </w:tc>
        <w:tc>
          <w:tcPr>
            <w:tcW w:type="dxa" w:w="3800"/>
            <w:tcMar>
              <w:top w:type="dxa" w:w="90"/>
              <w:left w:type="dxa" w:w="120"/>
              <w:bottom w:type="dxa" w:w="90"/>
              <w:right w:type="dxa" w:w="120"/>
            </w:tcMar>
            <w:vAlign w:val="center"/>
          </w:tcPr>
          <w:p>
            <w:pPr>
              <w:jc w:val="left"/>
            </w:pPr>
            <w:r>
              <w:rPr>
                <w:b w:val="false"/>
                <w:bCs w:val="false"/>
                <w:color w:val="000000"/>
                <w:sz w:val="20"/>
                <w:szCs w:val="20"/>
              </w:rPr>
              <w:t xml:space="preserve">25,000,000원</w:t>
            </w:r>
          </w:p>
        </w:tc>
      </w:tr>
      <w:tr>
        <w:trPr>
          <w:cantSplit/>
        </w:trP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확정분양가(우선분양전환형 선택 시)</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약 787,000,000원</w:t>
            </w:r>
          </w:p>
        </w:tc>
        <w:tc>
          <w:tcPr>
            <w:tcW w:type="dxa" w:w="38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약 1,035,000,000원</w:t>
            </w:r>
          </w:p>
        </w:tc>
      </w:tr>
      <w:tr>
        <w:trPr>
          <w:cantSplit/>
        </w:trPr>
        <w:tc>
          <w:tcPr>
            <w:tcW w:type="dxa" w:w="2000"/>
            <w:tcMar>
              <w:top w:type="dxa" w:w="90"/>
              <w:left w:type="dxa" w:w="120"/>
              <w:bottom w:type="dxa" w:w="90"/>
              <w:right w:type="dxa" w:w="120"/>
            </w:tcMar>
            <w:vAlign w:val="center"/>
          </w:tcPr>
          <w:p>
            <w:pPr>
              <w:jc w:val="left"/>
            </w:pPr>
            <w:r>
              <w:rPr>
                <w:b w:val="false"/>
                <w:bCs w:val="false"/>
                <w:color w:val="000000"/>
                <w:sz w:val="20"/>
                <w:szCs w:val="20"/>
              </w:rPr>
              <w:t xml:space="preserve">10년 후 추가 납입 추정액</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확정분양가 - (임대보증금+우선분양전환권)</w:t>
            </w:r>
          </w:p>
        </w:tc>
        <w:tc>
          <w:tcPr>
            <w:tcW w:type="dxa" w:w="3800"/>
            <w:tcMar>
              <w:top w:type="dxa" w:w="90"/>
              <w:left w:type="dxa" w:w="120"/>
              <w:bottom w:type="dxa" w:w="90"/>
              <w:right w:type="dxa" w:w="120"/>
            </w:tcMar>
            <w:vAlign w:val="center"/>
          </w:tcPr>
          <w:p>
            <w:pPr>
              <w:jc w:val="left"/>
            </w:pPr>
            <w:r>
              <w:rPr>
                <w:b w:val="false"/>
                <w:bCs w:val="false"/>
                <w:color w:val="000000"/>
                <w:sz w:val="20"/>
                <w:szCs w:val="20"/>
              </w:rPr>
              <w:t xml:space="preserve">확정분양가 - (임대보증금+우선분양전환권)</w:t>
            </w:r>
          </w:p>
        </w:tc>
      </w:tr>
    </w:tbl>
    <w:p>
      <w:pPr>
        <w:keepLines/>
        <w:spacing w:after="120" w:line="276" w:lineRule="auto"/>
      </w:pPr>
      <w:r>
        <w:t xml:space="preserve">즉 82타입 기준으로 초기에 임대보증금 약 4.4억원 + 우선분양전환권 1,500만원(선택 시)을 납부하고 거주하다가, 10년 뒤 확정분양가(약 7억8,700만원)와 기납부금의 차액(약 3.3억원)을 추가 납입하면 소유권을 이전받는 이부가격제(계약금·중도금+분양전환 추가납입금) 구조로 파악됩니다. 다만 이 산정은 홈페이지에 공개된 대표 수치를 근거로 한 것으로, 동·호수·층별 정확한 금액은 개별 확인이 필요합니다.</w:t>
      </w:r>
    </w:p>
    <w:p>
      <w:pPr>
        <w:keepNext/>
        <w:keepLines/>
        <w:pBdr>
          <w:left w:val="single" w:color="C89B3C" w:sz="18" w:space="6"/>
        </w:pBdr>
        <w:spacing w:after="100" w:before="240" w:line="276" w:lineRule="auto"/>
        <w:ind w:left="80"/>
      </w:pPr>
      <w:r>
        <w:rPr>
          <w:b/>
          <w:bCs/>
          <w:color w:val="1F3864"/>
          <w:sz w:val="22"/>
          <w:szCs w:val="22"/>
        </w:rPr>
        <w:t xml:space="preserve">② 우선분양전환형 선택 시 무상옵션</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“풀옵션이 제공되며 우선분양전환형 선택 시 확정분양가는 82타입 7억 8,700만원, 108타입은 10억 3,500만원대 입니다.”</w:t>
      </w:r>
    </w:p>
    <w:p>
      <w:pPr>
        <w:keepLines/>
        <w:spacing w:after="120" w:line="276" w:lineRule="auto"/>
      </w:pPr>
      <w:r>
        <w:t xml:space="preserve">"풀옵션 제공"이 구체적으로 어느 품목까지 포함하는지는 홈페이지에 세부 항목별로 명시되어 있지 않습니다. 원문(모집공고문)에 유상옵션으로 기재된 품목은 아래와 같으며, 우선분양전환형 선택 시 이 중 전부 또는 일부가 무상 제공되는 것으로 추정됩니다 — 정확한 무상 범위는 계약 전 서면으로 확인해야 합니다.</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2600"/>
        <w:gridCol w:w="3550"/>
        <w:gridCol w:w="3200"/>
      </w:tblGrid>
      <w:tr>
        <w:trPr>
          <w:cantSplit/>
        </w:trPr>
        <w:tc>
          <w:tcPr>
            <w:tcW w:type="dxa" w:w="2600"/>
            <w:shd w:fill="1F3864" w:val="clear"/>
            <w:tcMar>
              <w:top w:type="dxa" w:w="90"/>
              <w:left w:type="dxa" w:w="120"/>
              <w:bottom w:type="dxa" w:w="90"/>
              <w:right w:type="dxa" w:w="120"/>
            </w:tcMar>
            <w:vAlign w:val="center"/>
          </w:tcPr>
          <w:p>
            <w:pPr>
              <w:jc w:val="left"/>
            </w:pPr>
            <w:r>
              <w:rPr>
                <w:b/>
                <w:bCs/>
                <w:color w:val="FFFFFF"/>
                <w:sz w:val="20"/>
                <w:szCs w:val="20"/>
              </w:rPr>
              <w:t xml:space="preserve">옵션 품목</w:t>
            </w:r>
          </w:p>
        </w:tc>
        <w:tc>
          <w:tcPr>
            <w:tcW w:type="dxa" w:w="3550"/>
            <w:shd w:fill="1F3864" w:val="clear"/>
            <w:tcMar>
              <w:top w:type="dxa" w:w="90"/>
              <w:left w:type="dxa" w:w="120"/>
              <w:bottom w:type="dxa" w:w="90"/>
              <w:right w:type="dxa" w:w="120"/>
            </w:tcMar>
            <w:vAlign w:val="center"/>
          </w:tcPr>
          <w:p>
            <w:pPr>
              <w:jc w:val="left"/>
            </w:pPr>
            <w:r>
              <w:rPr>
                <w:b/>
                <w:bCs/>
                <w:color w:val="FFFFFF"/>
                <w:sz w:val="20"/>
                <w:szCs w:val="20"/>
              </w:rPr>
              <w:t xml:space="preserve">82타입 유상가격(참고)</w:t>
            </w:r>
          </w:p>
        </w:tc>
        <w:tc>
          <w:tcPr>
            <w:tcW w:type="dxa" w:w="3200"/>
            <w:shd w:fill="1F3864" w:val="clear"/>
            <w:tcMar>
              <w:top w:type="dxa" w:w="90"/>
              <w:left w:type="dxa" w:w="120"/>
              <w:bottom w:type="dxa" w:w="90"/>
              <w:right w:type="dxa" w:w="120"/>
            </w:tcMar>
            <w:vAlign w:val="center"/>
          </w:tcPr>
          <w:p>
            <w:pPr>
              <w:jc w:val="left"/>
            </w:pPr>
            <w:r>
              <w:rPr>
                <w:b/>
                <w:bCs/>
                <w:color w:val="FFFFFF"/>
                <w:sz w:val="20"/>
                <w:szCs w:val="20"/>
              </w:rPr>
              <w:t xml:space="preserve">108타입 유상가격(참고)</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시스템에어컨(전실)</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8,000,000원</w:t>
            </w:r>
          </w:p>
        </w:tc>
        <w:tc>
          <w:tcPr>
            <w:tcW w:type="dxa" w:w="3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9,700,000원</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주방 특화(세라믹타일+아트월 등)</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19,100,000원</w:t>
            </w:r>
          </w:p>
        </w:tc>
        <w:tc>
          <w:tcPr>
            <w:tcW w:type="dxa" w:w="3200"/>
            <w:tcMar>
              <w:top w:type="dxa" w:w="90"/>
              <w:left w:type="dxa" w:w="120"/>
              <w:bottom w:type="dxa" w:w="90"/>
              <w:right w:type="dxa" w:w="120"/>
            </w:tcMar>
            <w:vAlign w:val="center"/>
          </w:tcPr>
          <w:p>
            <w:pPr>
              <w:jc w:val="left"/>
            </w:pPr>
            <w:r>
              <w:rPr>
                <w:b w:val="false"/>
                <w:bCs w:val="false"/>
                <w:color w:val="000000"/>
                <w:sz w:val="20"/>
                <w:szCs w:val="20"/>
              </w:rPr>
              <w:t xml:space="preserve">24,600,000원</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욕실 특화(부부·공용)</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7,300,000원(합산)</w:t>
            </w:r>
          </w:p>
        </w:tc>
        <w:tc>
          <w:tcPr>
            <w:tcW w:type="dxa" w:w="3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6,500,000원(합산)</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침실1 드레스룸 특화</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16,400,000원</w:t>
            </w:r>
          </w:p>
        </w:tc>
        <w:tc>
          <w:tcPr>
            <w:tcW w:type="dxa" w:w="3200"/>
            <w:tcMar>
              <w:top w:type="dxa" w:w="90"/>
              <w:left w:type="dxa" w:w="120"/>
              <w:bottom w:type="dxa" w:w="90"/>
              <w:right w:type="dxa" w:w="120"/>
            </w:tcMar>
            <w:vAlign w:val="center"/>
          </w:tcPr>
          <w:p>
            <w:pPr>
              <w:jc w:val="left"/>
            </w:pPr>
            <w:r>
              <w:rPr>
                <w:b w:val="false"/>
                <w:bCs w:val="false"/>
                <w:color w:val="000000"/>
                <w:sz w:val="20"/>
                <w:szCs w:val="20"/>
              </w:rPr>
              <w:t xml:space="preserve">18,500,000원</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현관 특화(신발장+천장)</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2,200,000원</w:t>
            </w:r>
          </w:p>
        </w:tc>
        <w:tc>
          <w:tcPr>
            <w:tcW w:type="dxa" w:w="3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4,300,000원</w:t>
            </w:r>
          </w:p>
        </w:tc>
      </w:tr>
    </w:tbl>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우선분양전환형 선택 시 무상 제공되는 옵션 품목의 정확한 리스트(전체 품목 포함 여부, 일부 품목 제외 여부)를 계약 전 서면으로 명시해 줄 것을 요청합니다. "풀옵션"이라는 표현이 실제로는 일부 품목만 포함할 경우 계약자의 오인 소지가 있습니다.</w:t>
      </w:r>
    </w:p>
    <w:p>
      <w:pPr>
        <w:keepNext/>
        <w:keepLines/>
        <w:pBdr>
          <w:left w:val="single" w:color="C89B3C" w:sz="18" w:space="6"/>
        </w:pBdr>
        <w:spacing w:after="100" w:before="240" w:line="276" w:lineRule="auto"/>
        <w:ind w:left="80"/>
      </w:pPr>
      <w:r>
        <w:rPr>
          <w:b/>
          <w:bCs/>
          <w:color w:val="1F3864"/>
          <w:sz w:val="22"/>
          <w:szCs w:val="22"/>
        </w:rPr>
        <w:t xml:space="preserve">③ 유주택자 청약 가능 여부</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“유주택자 신청 가능합니다. 다만 대출조건 등을 확인해야 합니다”</w:t>
      </w:r>
    </w:p>
    <w:p>
      <w:pPr>
        <w:keepLines/>
        <w:spacing w:after="120" w:line="276" w:lineRule="auto"/>
      </w:pPr>
      <w:r>
        <w:t xml:space="preserve">원문은 일반공급 당첨자에 대해 "임차인 모집공고일을 기준으로... 무주택세대구성원이어야" 한다고 명시하면서도, 동시에 다음과 같은 예외 조항을 두고 있습니다.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“임차인의 자격(요건) 및 선정방법에도 불구하고 해당 주택의 임차인의 자격을 완화하거나 선착순의 방법으로 공급할 수 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“「민간임대주택에 관한 특별법 시행규칙」 제14조의7에 따라 임차인의 자격을 완화하거나 선착순의 방법으로 공급할 예정이니 유의하시기 바랍니다.”</w:t>
      </w:r>
    </w:p>
    <w:p>
      <w:pPr>
        <w:keepLines/>
        <w:spacing w:after="120" w:line="276" w:lineRule="auto"/>
      </w:pPr>
      <w:r>
        <w:t xml:space="preserve">즉 정식 청약(1·2순위) 단계는 무주택세대구성원 요건이 적용되나, 특별공급·일반공급에서 미달이 발생한 잔여세대는 시행규칙 제14조의7에 근거하여 자격을 완화하고 선착순으로 공급할 수 있으며, 이 경우 유주택자도 계약이 가능합니다. 실제로 본 단지는 최초 청약에서 특별공급을 제외한 일반공급 물량 중 상당수가 미달되었고, 현재 공식 홈페이지도 "특별공급 종료된 이후 현재 일반공급 잔여 세대를 중심으로 선착순 계약이 진행 중"이라고 안내하고 있어, 유주택자 계약 가능은 이 잔여세대 선착순 공급 단계에 해당하는 것으로 파악됩니다.</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유주택자로 계약할 경우 무주택 자격유지의무(제3장 독소조항 참조)가 적용되지 않는지, 잔금대출(주택담보대출) 시 다주택자 규제가 적용되는지 등 유주택자 특유의 리스크를 계약 전 서면으로 안내해 줄 것을 요청합니다.</w:t>
      </w:r>
    </w:p>
    <w:p>
      <w:pPr>
        <w:keepNext/>
        <w:keepLines/>
        <w:pBdr>
          <w:left w:val="single" w:color="C89B3C" w:sz="18" w:space="6"/>
        </w:pBdr>
        <w:spacing w:after="100" w:before="240" w:line="276" w:lineRule="auto"/>
        <w:ind w:left="80"/>
      </w:pPr>
      <w:r>
        <w:rPr>
          <w:b/>
          <w:bCs/>
          <w:color w:val="1F3864"/>
          <w:sz w:val="22"/>
          <w:szCs w:val="22"/>
        </w:rPr>
        <w:t xml:space="preserve">④ 원문과 실제 계약조건의 정보 격차 — 핵심 리스크</w:t>
      </w:r>
    </w:p>
    <w:p>
      <w:pPr>
        <w:keepLines/>
        <w:spacing w:after="120" w:line="276" w:lineRule="auto"/>
      </w:pPr>
      <w:r>
        <w:t xml:space="preserve">위 ①~③ 항목의 구체적 수치(확정분양가 금액, 우선분양전환권 가격, 무상옵션, 유주택자 허용)는 원문 87,392자 전체에 단 한 차례도 등장하지 않습니다. 원문이 실제로 정하고 있는 분양전환 문구는 다음과 같이 훨씬 더 유보적입니다.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주택은 임대의무기간 종료 후 분양전환 여부, 분양전환 가격, 분양전환 대상자 등은 사업주체가 직접 정한 기준에 따라 분양 전환하며, 거주 중인 임차인에게 우선 분양전환의 의무가 없음을 양지하시고 이점 유의하시기 바랍니다.”</w:t>
      </w:r>
    </w:p>
    <w:p>
      <w:pPr>
        <w:keepLines/>
        <w:spacing w:after="120" w:line="276" w:lineRule="auto"/>
      </w:pPr>
      <w:r>
        <w:t xml:space="preserve">가장 결정적인 대목은, 사업주체가 국토교통부의 공식 권고사항을 원문에 스스로 인용하여 "장래 분양전환을 미리 약정하는 행위" 자체를 경계하고 있다는 점입니다.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“국토교통부 권고사항에 따라 "장래 임대의무기간 경과 후 소유권을 양도하기로 미리 약정하는 것은 관련 법에 근거가 없어 우선변제권 등이 적용되지 않고, 해당 계약을 체결하거나 유도하는 행위는 「민간임대주택에 관한 특별법」에 저촉될 수 있음" 안내하오니 이점 명확히 인지하시고 청약 및 계약을 진행하시기 바랍니다.”</w:t>
      </w:r>
    </w:p>
    <w:p>
      <w:pPr>
        <w:keepLines/>
        <w:spacing w:after="120" w:line="276" w:lineRule="auto"/>
      </w:pPr>
      <w:r>
        <w:t xml:space="preserve">종합하면, 확정분양가·우선분양전환권 상품 자체는 실제로 판매되고 있고 홈페이지에도 구체적 금액이 공개되어 있지만, (1) 이 조건이 모집공고문이나 계약서 본문이 아닌 홈페이지·현장 안내로만 존재하고, (2) 원문은 오히려 이런 사전 확정 약정이 국토부 권고상 법적 근거가 없어 우선변제권 등이 적용되지 않을 수 있다고 스스로 경고하고 있다는 점이 계약자가 반드시 인지해야 할 핵심 리스크입니다. 즉 "확정"이라는 표현과 달리, 임대의무기간 종료 시 실제로 이 가격에 분양전환이 실행될 것이라는 법적 구속력은 원문상 명확하지 않습니다.</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확정분양가·우선분양전환권 조건을 표준임대차계약서 부속 특약으로 명문화하여 법적 구속력을 부여하고, 국토교통부가 지적한 우선변제권 미적용 리스크에 대한 사업주체의 대응 방안(예: 별도 보증 장치)을 계약 전 서면으로 제공해 줄 것을 요청합니다.</w:t>
      </w:r>
    </w:p>
    <w:p>
      <w:pPr>
        <w:keepNext/>
        <w:keepLines/>
        <w:pBdr>
          <w:left w:val="single" w:color="C89B3C" w:sz="18" w:space="6"/>
        </w:pBdr>
        <w:spacing w:after="100" w:before="240" w:line="276" w:lineRule="auto"/>
        <w:ind w:left="80"/>
      </w:pPr>
      <w:r>
        <w:rPr>
          <w:b/>
          <w:bCs/>
          <w:color w:val="1F3864"/>
          <w:sz w:val="22"/>
          <w:szCs w:val="22"/>
        </w:rPr>
        <w:t xml:space="preserve">참고: 타 민간임대 사업장 비교 — 신광교 제일풍경채(광교풍경채 어바니티)</w:t>
      </w:r>
    </w:p>
    <w:p>
      <w:pPr>
        <w:keepLines/>
        <w:spacing w:after="120" w:line="276" w:lineRule="auto"/>
      </w:pPr>
      <w:r>
        <w:t xml:space="preserve">아래는 원문(모집공고문)이 아닌 사용자 제공 자료(신광교 제일풍경채 매매예약 안내문 이미지)를 근거로 한 참고 비교이며, 별도의 공식 확인을 거치지 않았음을 밝힙니다. 신광교 제일풍경채(용인시 기흥구, 2023년 입주, 1,766세대)는 "매매예약"이라는 별도 유상 옵션을 통해 계약 시점에 분양전환가격을 서면으로 명시하는 방식을 운영하며, 이는 동탄 파라곤3차의 "우선분양전환권"과 사실상 동일한 상품 구조입니다.</w:t>
      </w:r>
    </w:p>
    <w:p>
      <w:pPr>
        <w:jc w:val="center"/>
      </w:pPr>
      <w:r>
        <w:drawing>
          <wp:inline distT="0" distB="0" distL="0" distR="0">
            <wp:extent cx="3048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4238625"/>
                    </a:xfrm>
                    <a:prstGeom prst="rect">
                      <a:avLst/>
                    </a:prstGeom>
                  </pic:spPr>
                </pic:pic>
              </a:graphicData>
            </a:graphic>
          </wp:inline>
        </w:drawing>
      </w:r>
    </w:p>
    <w:p>
      <w:pPr>
        <w:keepLines/>
        <w:spacing w:after="200" w:before="60" w:line="276" w:lineRule="auto"/>
      </w:pPr>
      <w:r>
        <w:rPr>
          <w:b/>
          <w:bCs/>
          <w:color w:val="595959"/>
          <w:sz w:val="18"/>
          <w:szCs w:val="18"/>
        </w:rPr>
        <w:t xml:space="preserve">[그림 1] 신광교 제일풍경채 매매예약 안내문 (참고자료)</w:t>
      </w:r>
      <w:r>
        <w:rPr>
          <w:i/>
          <w:iCs/>
          <w:color w:val="999999"/>
          <w:sz w:val="18"/>
          <w:szCs w:val="18"/>
        </w:rPr>
        <w:t xml:space="preserve">   자료: 사용자 제공 자료 — 원문 모집공고문 아님, 별도 확인 필요</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2200"/>
        <w:gridCol w:w="3550"/>
        <w:gridCol w:w="3600"/>
      </w:tblGrid>
      <w:tr>
        <w:trPr>
          <w:cantSplit/>
        </w:trPr>
        <w:tc>
          <w:tcPr>
            <w:tcW w:type="dxa" w:w="2200"/>
            <w:shd w:fill="1F3864" w:val="clear"/>
            <w:tcMar>
              <w:top w:type="dxa" w:w="90"/>
              <w:left w:type="dxa" w:w="120"/>
              <w:bottom w:type="dxa" w:w="90"/>
              <w:right w:type="dxa" w:w="120"/>
            </w:tcMar>
            <w:vAlign w:val="center"/>
          </w:tcPr>
          <w:p>
            <w:pPr>
              <w:jc w:val="left"/>
            </w:pPr>
            <w:r>
              <w:rPr>
                <w:b/>
                <w:bCs/>
                <w:color w:val="FFFFFF"/>
                <w:sz w:val="20"/>
                <w:szCs w:val="20"/>
              </w:rPr>
              <w:t xml:space="preserve">구분</w:t>
            </w:r>
          </w:p>
        </w:tc>
        <w:tc>
          <w:tcPr>
            <w:tcW w:type="dxa" w:w="3550"/>
            <w:shd w:fill="1F3864" w:val="clear"/>
            <w:tcMar>
              <w:top w:type="dxa" w:w="90"/>
              <w:left w:type="dxa" w:w="120"/>
              <w:bottom w:type="dxa" w:w="90"/>
              <w:right w:type="dxa" w:w="120"/>
            </w:tcMar>
            <w:vAlign w:val="center"/>
          </w:tcPr>
          <w:p>
            <w:pPr>
              <w:jc w:val="left"/>
            </w:pPr>
            <w:r>
              <w:rPr>
                <w:b/>
                <w:bCs/>
                <w:color w:val="FFFFFF"/>
                <w:sz w:val="20"/>
                <w:szCs w:val="20"/>
              </w:rPr>
              <w:t xml:space="preserve">동탄 파라곤3차</w:t>
            </w:r>
          </w:p>
        </w:tc>
        <w:tc>
          <w:tcPr>
            <w:tcW w:type="dxa" w:w="3600"/>
            <w:shd w:fill="1F3864" w:val="clear"/>
            <w:tcMar>
              <w:top w:type="dxa" w:w="90"/>
              <w:left w:type="dxa" w:w="120"/>
              <w:bottom w:type="dxa" w:w="90"/>
              <w:right w:type="dxa" w:w="120"/>
            </w:tcMar>
            <w:vAlign w:val="center"/>
          </w:tcPr>
          <w:p>
            <w:pPr>
              <w:jc w:val="left"/>
            </w:pPr>
            <w:r>
              <w:rPr>
                <w:b/>
                <w:bCs/>
                <w:color w:val="FFFFFF"/>
                <w:sz w:val="20"/>
                <w:szCs w:val="20"/>
              </w:rPr>
              <w:t xml:space="preserve">신광교 제일풍경채(참고)</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사전 확정 옵션 명칭</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우선분양전환권</w:t>
            </w:r>
          </w:p>
        </w:tc>
        <w:tc>
          <w:tcPr>
            <w:tcW w:type="dxa" w:w="3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매매예약</w:t>
            </w:r>
          </w:p>
        </w:tc>
      </w:tr>
      <w:tr>
        <w:trPr>
          <w:cantSplit/>
        </w:trP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옵션 가격</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82타입 1,500만원 / 108타입 2,500만원</w:t>
            </w:r>
          </w:p>
        </w:tc>
        <w:tc>
          <w:tcPr>
            <w:tcW w:type="dxa" w:w="3600"/>
            <w:tcMar>
              <w:top w:type="dxa" w:w="90"/>
              <w:left w:type="dxa" w:w="120"/>
              <w:bottom w:type="dxa" w:w="90"/>
              <w:right w:type="dxa" w:w="120"/>
            </w:tcMar>
            <w:vAlign w:val="center"/>
          </w:tcPr>
          <w:p>
            <w:pPr>
              <w:jc w:val="left"/>
            </w:pPr>
            <w:r>
              <w:rPr>
                <w:b w:val="false"/>
                <w:bCs w:val="false"/>
                <w:color w:val="000000"/>
                <w:sz w:val="20"/>
                <w:szCs w:val="20"/>
              </w:rPr>
              <w:t xml:space="preserve">매매계약증거금 84A 25,200만원 / 108 25,000만원 수준</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확정 금액(예시)</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82타입 약 7.87억 / 108타입 약 10.35억</w:t>
            </w:r>
          </w:p>
        </w:tc>
        <w:tc>
          <w:tcPr>
            <w:tcW w:type="dxa" w:w="3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84A 약 7.87억 / 108 약 10.35억(안내문 기준)</w:t>
            </w:r>
          </w:p>
        </w:tc>
      </w:tr>
      <w:tr>
        <w:trPr>
          <w:cantSplit/>
        </w:trP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원문상 법적 근거</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원문이 "사전 약정은 법에 저촉될 수 있음"이라는 국토부 권고를 직접 인용</w:t>
            </w:r>
          </w:p>
        </w:tc>
        <w:tc>
          <w:tcPr>
            <w:tcW w:type="dxa" w:w="3600"/>
            <w:tcMar>
              <w:top w:type="dxa" w:w="90"/>
              <w:left w:type="dxa" w:w="120"/>
              <w:bottom w:type="dxa" w:w="90"/>
              <w:right w:type="dxa" w:w="120"/>
            </w:tcMar>
            <w:vAlign w:val="center"/>
          </w:tcPr>
          <w:p>
            <w:pPr>
              <w:jc w:val="left"/>
            </w:pPr>
            <w:r>
              <w:rPr>
                <w:b w:val="false"/>
                <w:bCs w:val="false"/>
                <w:color w:val="000000"/>
                <w:sz w:val="20"/>
                <w:szCs w:val="20"/>
              </w:rPr>
              <w:t xml:space="preserve">원문(모집공고문) 미확보 — 법적 근거는 별도 확인 필요</w:t>
            </w:r>
          </w:p>
        </w:tc>
      </w:tr>
    </w:tbl>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두 단지 모두 유사한 사전 확정 분양전환 상품을 운영하고 있는 만큼, 이러한 상품이 국토교통부 권고와 어떻게 양립하는지 사업주체에 서면으로 질의할 것을 요청합니다.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3   </w:t>
            </w:r>
            <w:r>
              <w:rPr>
                <w:b/>
                <w:bCs/>
                <w:color w:val="FFFFFF"/>
                <w:sz w:val="24"/>
                <w:szCs w:val="24"/>
              </w:rPr>
              <w:t xml:space="preserve">계약 전 확인 및 개선요청 사항</w:t>
            </w:r>
          </w:p>
        </w:tc>
      </w:tr>
    </w:tbl>
    <w:p>
      <w:pPr>
        <w:keepLines/>
        <w:spacing w:after="120" w:line="276" w:lineRule="auto"/>
      </w:pPr>
      <w:r>
        <w:t xml:space="preserve">아래 조항들은 원문에 실제로 기재된 문구를 그대로 인용한 것이며, 약관 위반 여부를 단정하기보다 예비 임차인이 사업주체에 실질적으로 개선을 요청할 수 있는 지점을 중심으로 정리하였습니다.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01   </w:t>
            </w:r>
            <w:r>
              <w:rPr>
                <w:b/>
                <w:bCs/>
                <w:color w:val="1F3864"/>
                <w:sz w:val="23"/>
                <w:szCs w:val="23"/>
              </w:rPr>
              <w:t xml:space="preserve">계약해지 사유 포괄조항 — "그 밖에 의무를 위반한 경우"</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“임차인이 다음 각 호의 어느 하나에 해당하는 행위를 한 경우를 제외하고는 임대사업자는 이 계약을 해제 또는 해지하거나 임대차 계약의 갱신을 거절할 수 없습니다. ... 8. 그 밖에 이 표준임대차계약서상의 의무를 위반한 경우”</w:t>
            </w:r>
          </w:p>
          <w:p>
            <w:pPr>
              <w:keepLines/>
              <w:spacing w:after="40" w:before="20" w:line="280" w:lineRule="auto"/>
            </w:pPr>
            <w:r>
              <w:rPr>
                <w:b/>
                <w:bCs/>
                <w:color w:val="2E5395"/>
                <w:sz w:val="20"/>
                <w:szCs w:val="20"/>
              </w:rPr>
              <w:t xml:space="preserve">✓  개선요청   </w:t>
            </w:r>
            <w:r>
              <w:rPr>
                <w:sz w:val="20"/>
                <w:szCs w:val="20"/>
              </w:rPr>
              <w:t xml:space="preserve">계약체결 전 표준임대차계약서 전문을 사전 열람·교부하여 임차인이 해지 사유 전체 범위를 명확히 확인할 수 있도록 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02   </w:t>
            </w:r>
            <w:r>
              <w:rPr>
                <w:b/>
                <w:bCs/>
                <w:color w:val="1F3864"/>
                <w:sz w:val="23"/>
                <w:szCs w:val="23"/>
              </w:rPr>
              <w:t xml:space="preserve">무단 양도·전대 시 위약벌 — 구체 금액 미기재</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“입주 전·후를 불문하고 임대인의 동의 없이 무단으로 양도 및 전대한 경우 사업주체는 임차권을 박탈하고 기 납부한 보증금 중 임대차계약서에 따른 위약벌이 공제되며, 입주 후 양도 및 전대한 경우 임차인의 퇴거를 요청할 수 있으며, 임대차 계약해지로 인한 불이익(임대차계약에서 정해진 위약금징구 등)이 발생할 수 있으므로 유의하시기 바랍니다.”</w:t>
            </w:r>
          </w:p>
          <w:p>
            <w:pPr>
              <w:keepLines/>
              <w:spacing w:after="40" w:before="20" w:line="280" w:lineRule="auto"/>
            </w:pPr>
            <w:r>
              <w:rPr>
                <w:b/>
                <w:bCs/>
                <w:color w:val="2E5395"/>
                <w:sz w:val="20"/>
                <w:szCs w:val="20"/>
              </w:rPr>
              <w:t xml:space="preserve">✓  개선요청   </w:t>
            </w:r>
            <w:r>
              <w:rPr>
                <w:sz w:val="20"/>
                <w:szCs w:val="20"/>
              </w:rPr>
              <w:t xml:space="preserve">위약벌·위약금의 구체적 금액 산정기준을 청약 신청 이전 단계에서 사전 고지해 줄 것을 요청합니다. (참고: 외부 자료에 따르면 계약해지 시 위약금이 확정분양가의 10% 수준으로 산정된다는 정보가 있으나, 이 역시 원문에는 명시되어 있지 않아 별도 확인이 필요합니다.)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03   </w:t>
            </w:r>
            <w:r>
              <w:rPr>
                <w:b/>
                <w:bCs/>
                <w:color w:val="1F3864"/>
                <w:sz w:val="23"/>
                <w:szCs w:val="23"/>
              </w:rPr>
              <w:t xml:space="preserve">계약해약 시 위약금 공제 — 비율 미기재</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“계약체결 후 해약하게 되는 경우 계약시 약관에 따라 위약금을 공제함.”</w:t>
            </w:r>
          </w:p>
          <w:p>
            <w:pPr>
              <w:keepLines/>
              <w:spacing w:after="40" w:before="20" w:line="280" w:lineRule="auto"/>
            </w:pPr>
            <w:r>
              <w:rPr>
                <w:b/>
                <w:bCs/>
                <w:color w:val="2E5395"/>
                <w:sz w:val="20"/>
                <w:szCs w:val="20"/>
              </w:rPr>
              <w:t xml:space="preserve">✓  개선요청   </w:t>
            </w:r>
            <w:r>
              <w:rPr>
                <w:sz w:val="20"/>
                <w:szCs w:val="20"/>
              </w:rPr>
              <w:t xml:space="preserve">위약금 공제 비율(예: 확정분양가 또는 보증금의 몇 %)을 본 공고문 또는 사전 안내자료에 명시해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04   </w:t>
            </w:r>
            <w:r>
              <w:rPr>
                <w:b/>
                <w:bCs/>
                <w:color w:val="1F3864"/>
                <w:sz w:val="23"/>
                <w:szCs w:val="23"/>
              </w:rPr>
              <w:t xml:space="preserve">시스템에어컨 옵션 취소 — 계약금 전액 위약금 귀속</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“천장형 시스템에어컨은 선택 계약을 체결한 후 이를 취소하는 경우 계약금은 위약금으로 시행자(건설사)에 귀속되며, 원상회복 또는 변경 공사를 위한 추가 비용을 부담하여야 하며, 해당 세대는 건축공정상 기본설치품목인 에어컨용 냉매매립배관이 설치되지 않습니다.”</w:t>
            </w:r>
          </w:p>
          <w:p>
            <w:pPr>
              <w:keepLines/>
              <w:spacing w:after="40" w:before="20" w:line="280" w:lineRule="auto"/>
            </w:pPr>
            <w:r>
              <w:rPr>
                <w:b/>
                <w:bCs/>
                <w:color w:val="2E5395"/>
                <w:sz w:val="20"/>
                <w:szCs w:val="20"/>
              </w:rPr>
              <w:t xml:space="preserve">✓  개선요청   </w:t>
            </w:r>
            <w:r>
              <w:rPr>
                <w:sz w:val="20"/>
                <w:szCs w:val="20"/>
              </w:rPr>
              <w:t xml:space="preserve">우선분양전환형 선택 시 이 옵션이 무상 제공되는지 여부를 포함하여, 옵션 취소 시 위약금 비율 완화와 기본 매립배관 대체 시공 옵션을 제공해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05   </w:t>
            </w:r>
            <w:r>
              <w:rPr>
                <w:b/>
                <w:bCs/>
                <w:color w:val="1F3864"/>
                <w:sz w:val="23"/>
                <w:szCs w:val="23"/>
              </w:rPr>
              <w:t xml:space="preserve">무주택 자격유지의무 위반 — 입주제한·당첨취소·중도해지</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“사업주체는 계약일 이후 필요 시 임차인 세대 구성원의 주택소유현황을 확인할 수 있고(임대기간 중에도 확인할 수 있음), 만약 임차인이 무주택세대 구성원 요건을 충족하지 못할 경우 임차인 입주를 제한하고 당첨을 취소하거나 임대차계약을 중도해지 할 수 있으며, 계약 갱신이 거부될 수 있습니다.”</w:t>
            </w:r>
          </w:p>
          <w:p>
            <w:pPr>
              <w:keepLines/>
              <w:spacing w:after="40" w:before="20" w:line="280" w:lineRule="auto"/>
            </w:pPr>
            <w:r>
              <w:rPr>
                <w:b/>
                <w:bCs/>
                <w:color w:val="2E5395"/>
                <w:sz w:val="20"/>
                <w:szCs w:val="20"/>
              </w:rPr>
              <w:t xml:space="preserve">✓  개선요청   </w:t>
            </w:r>
            <w:r>
              <w:rPr>
                <w:sz w:val="20"/>
                <w:szCs w:val="20"/>
              </w:rPr>
              <w:t xml:space="preserve">유주택자로 선착순 계약한 임차인에게는 이 조항이 적용되지 않는다는 점을 명확히 하고, 그 밖의 경우 상속·혼인 등 예외 인정 사유의 범위를 폭넓게 명문화해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06   </w:t>
            </w:r>
            <w:r>
              <w:rPr>
                <w:b/>
                <w:bCs/>
                <w:color w:val="1F3864"/>
                <w:sz w:val="23"/>
                <w:szCs w:val="23"/>
              </w:rPr>
              <w:t xml:space="preserve">임대보증금 반환 시 선순위 포괄 공제</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“임대보증금을 반환할 경우 미납임대료, 관리비 등 제반 납부금액과 수선유지 불이행에 따른 보수비 및 연체료, 위약금, 불법거주에 따른 배상금, 손해배상금, 대출금에 대한 잔액이 있는 경우 채권양도 등 선 순위자에게 반환할 채권 등을 임대보증금에서 우선 공제하고 그 잔액을 반환합니다.”</w:t>
            </w:r>
          </w:p>
          <w:p>
            <w:pPr>
              <w:keepLines/>
              <w:spacing w:after="40" w:before="20" w:line="280" w:lineRule="auto"/>
            </w:pPr>
            <w:r>
              <w:rPr>
                <w:b/>
                <w:bCs/>
                <w:color w:val="2E5395"/>
                <w:sz w:val="20"/>
                <w:szCs w:val="20"/>
              </w:rPr>
              <w:t xml:space="preserve">✓  개선요청   </w:t>
            </w:r>
            <w:r>
              <w:rPr>
                <w:sz w:val="20"/>
                <w:szCs w:val="20"/>
              </w:rPr>
              <w:t xml:space="preserve">공제 항목별 산정기준과 공제 내역서 교부 절차를 명문화해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07   </w:t>
            </w:r>
            <w:r>
              <w:rPr>
                <w:b/>
                <w:bCs/>
                <w:color w:val="1F3864"/>
                <w:sz w:val="23"/>
                <w:szCs w:val="23"/>
              </w:rPr>
              <w:t xml:space="preserve">중도금 대출 알선 의무 없음 — 자기책임 조달</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“사업주체는 중도금 대출의 알선에 관한 의무가 없습니다. ... 대출 알선이 제공되지 않거나, 알선이 제공될 경우라도 계약자의 대출비율이 축소되거나 대출 부적격 등으로 인하여 대출이 불가한 경우는 본 아파트 공급계약의 해제 사유에 해당하지 않으며, 계약자는 본인의 책임으로 공급대금을 납부하여야 합니다.”</w:t>
            </w:r>
          </w:p>
          <w:p>
            <w:pPr>
              <w:keepLines/>
              <w:spacing w:after="40" w:before="20" w:line="280" w:lineRule="auto"/>
            </w:pPr>
            <w:r>
              <w:rPr>
                <w:b/>
                <w:bCs/>
                <w:color w:val="2E5395"/>
                <w:sz w:val="20"/>
                <w:szCs w:val="20"/>
              </w:rPr>
              <w:t xml:space="preserve">✓  개선요청   </w:t>
            </w:r>
            <w:r>
              <w:rPr>
                <w:sz w:val="20"/>
                <w:szCs w:val="20"/>
              </w:rPr>
              <w:t xml:space="preserve">유주택자의 경우 다주택 대출규제로 대출 가능성이 더욱 낮아질 수 있으므로, 대출 알선 불가 시 임대보증금 납부 일정을 유예하거나 분할 조정할 수 있는 절차를 마련해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08   </w:t>
            </w:r>
            <w:r>
              <w:rPr>
                <w:b/>
                <w:bCs/>
                <w:color w:val="1F3864"/>
                <w:sz w:val="23"/>
                <w:szCs w:val="23"/>
              </w:rPr>
              <w:t xml:space="preserve">대출 중단으로 인한 계약해지 — 임차인 책임 귀속</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“중도금 대출 기간 이내라도 임차인의 금융 신용불량 등 결격사유가 발생하여 대출 금융기관의 중도금 대출 중단 요구로 분양대금이 납부되지 않을 경우 계약해지를 할 수 있으며, 이는 사업주체의 잘못이 아닌 임차인의 결격사유에 기인하므로 이에 대한 이의를 제기할 수 없습니다.”</w:t>
            </w:r>
          </w:p>
          <w:p>
            <w:pPr>
              <w:keepLines/>
              <w:spacing w:after="40" w:before="20" w:line="280" w:lineRule="auto"/>
            </w:pPr>
            <w:r>
              <w:rPr>
                <w:b/>
                <w:bCs/>
                <w:color w:val="2E5395"/>
                <w:sz w:val="20"/>
                <w:szCs w:val="20"/>
              </w:rPr>
              <w:t xml:space="preserve">✓  개선요청   </w:t>
            </w:r>
            <w:r>
              <w:rPr>
                <w:sz w:val="20"/>
                <w:szCs w:val="20"/>
              </w:rPr>
              <w:t xml:space="preserve">정부 정책 변경 등 임차인의 귀책사유가 아닌 외부요인으로 인한 대출 중단 시에는 계약 유예 또는 조건 재협의 절차를 둘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09   </w:t>
            </w:r>
            <w:r>
              <w:rPr>
                <w:b/>
                <w:bCs/>
                <w:color w:val="1F3864"/>
                <w:sz w:val="23"/>
                <w:szCs w:val="23"/>
              </w:rPr>
              <w:t xml:space="preserve">면적 오차 이의제기 금지 및 정산 배제</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“면적은 소수점 다섯째 자리에서 버림 방식으로 소수점 넷째 자리까지 표현되므로 약간의 오차가 생길 수 있으나 이에 대해 이의를 제기할 수 없으며, 각 세대별 소수점 이하 면적 변동에 대해서는 차임을 상호 정산하지 않습니다.”</w:t>
            </w:r>
          </w:p>
          <w:p>
            <w:pPr>
              <w:keepLines/>
              <w:spacing w:after="40" w:before="20" w:line="280" w:lineRule="auto"/>
            </w:pPr>
            <w:r>
              <w:rPr>
                <w:b/>
                <w:bCs/>
                <w:color w:val="2E5395"/>
                <w:sz w:val="20"/>
                <w:szCs w:val="20"/>
              </w:rPr>
              <w:t xml:space="preserve">✓  개선요청   </w:t>
            </w:r>
            <w:r>
              <w:rPr>
                <w:sz w:val="20"/>
                <w:szCs w:val="20"/>
              </w:rPr>
              <w:t xml:space="preserve">일정 비율 이상의 면적 오차 발생 시에는 예외적으로 임대료 정산 절차를 둘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10   </w:t>
            </w:r>
            <w:r>
              <w:rPr>
                <w:b/>
                <w:bCs/>
                <w:color w:val="1F3864"/>
                <w:sz w:val="23"/>
                <w:szCs w:val="23"/>
              </w:rPr>
              <w:t xml:space="preserve">모집공고 미확인 시 불이익 전면 전가</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'임차인 모집공고' 미확인으로 인하여 발생하는 불이익은 계약자 본인에게 그 책임이 있으며 사업주체에서 책임지지 않습니다.”</w:t>
            </w:r>
          </w:p>
          <w:p>
            <w:pPr>
              <w:keepLines/>
              <w:spacing w:after="40" w:before="20" w:line="280" w:lineRule="auto"/>
            </w:pPr>
            <w:r>
              <w:rPr>
                <w:b/>
                <w:bCs/>
                <w:color w:val="2E5395"/>
                <w:sz w:val="20"/>
                <w:szCs w:val="20"/>
              </w:rPr>
              <w:t xml:space="preserve">✓  개선요청   </w:t>
            </w:r>
            <w:r>
              <w:rPr>
                <w:sz w:val="20"/>
                <w:szCs w:val="20"/>
              </w:rPr>
              <w:t xml:space="preserve">확정분양가·우선분양전환권 등 핵심 계약조건이 정작 모집공고문에 없는 만큼, 계약 전 홈페이지·현장 안내 사항까지 포함한 통합 설명자료를 서면으로 제공하고 서명 확인 절차를 둘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11   </w:t>
            </w:r>
            <w:r>
              <w:rPr>
                <w:b/>
                <w:bCs/>
                <w:color w:val="1F3864"/>
                <w:sz w:val="23"/>
                <w:szCs w:val="23"/>
              </w:rPr>
              <w:t xml:space="preserve">인접 개발계획 미확인 이의제기 금지</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공고문에 명기되지 않은 공공시설 및 기반시설의 위치, 주변 혐오시설 유·무, 도로, 소음, 조망, 일조, 진입로, 냄새유발시설, 주변개발 등 주위 환경에 대해서 청약 및 계약체결전에 견본주택 및 사업부지 현장을 방문하여 반드시 확인하시기 바라며 추후 계약자의 미확인 등에 따른 이의를 제기할 수 없음.”</w:t>
            </w:r>
          </w:p>
          <w:p>
            <w:pPr>
              <w:keepLines/>
              <w:spacing w:after="40" w:before="20" w:line="280" w:lineRule="auto"/>
            </w:pPr>
            <w:r>
              <w:rPr>
                <w:b/>
                <w:bCs/>
                <w:color w:val="2E5395"/>
                <w:sz w:val="20"/>
                <w:szCs w:val="20"/>
              </w:rPr>
              <w:t xml:space="preserve">✓  개선요청   </w:t>
            </w:r>
            <w:r>
              <w:rPr>
                <w:sz w:val="20"/>
                <w:szCs w:val="20"/>
              </w:rPr>
              <w:t xml:space="preserve">계약체결 시점의 인허가 확정 정보에 한해서는 사업주체가 성실 고지 의무를 부담하도록 명문화해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12   </w:t>
            </w:r>
            <w:r>
              <w:rPr>
                <w:b/>
                <w:bCs/>
                <w:color w:val="1F3864"/>
                <w:sz w:val="23"/>
                <w:szCs w:val="23"/>
              </w:rPr>
              <w:t xml:space="preserve">옵션 미설치 정산금 환불 요구 금지</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“추가선택품목 선택시 기본으로 제공되는 품목 및 마감재 시공 분에 대한 금액은 기존 설치품목의 미설치, 별도 마감재 미시공으로 인해 감소되는 공사비용과 추가 시공품목의 공사비 증가비용이 정산된 금액으로 추후 미설치에 따른 금액 환불을 사업주체에게 요구할 수 없다.”</w:t>
            </w:r>
          </w:p>
          <w:p>
            <w:pPr>
              <w:keepLines/>
              <w:spacing w:after="40" w:before="20" w:line="280" w:lineRule="auto"/>
            </w:pPr>
            <w:r>
              <w:rPr>
                <w:b/>
                <w:bCs/>
                <w:color w:val="2E5395"/>
                <w:sz w:val="20"/>
                <w:szCs w:val="20"/>
              </w:rPr>
              <w:t xml:space="preserve">✓  개선요청   </w:t>
            </w:r>
            <w:r>
              <w:rPr>
                <w:sz w:val="20"/>
                <w:szCs w:val="20"/>
              </w:rPr>
              <w:t xml:space="preserve">옵션가격 산정근거(기본품목 원가 대비 증가분)에 대한 세부 내역서를 제공해 줄 것을 요청합니다.</w:t>
            </w:r>
          </w:p>
        </w:tc>
      </w:tr>
    </w:tbl>
    <w:p>
      <w:pPr>
        <w:keepLines/>
        <w:spacing w:after="120" w:line="276" w:lineRule="auto"/>
      </w:pPr>
      <w:r>
        <w:t xml:space="preserve">참고사항: 잔금 연체 시 연체이율이 적용되나 선납 시 선납할인은 적용되지 않는 비대칭 조항, 부기등기 관련 이의제기 금지 조항(법정사항)도 원문에서 확인되나, 임차인 관심도가 상대적으로 낮은 항목으로 참고용으로만 기재합니다.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4   </w:t>
            </w:r>
            <w:r>
              <w:rPr>
                <w:b/>
                <w:bCs/>
                <w:color w:val="FFFFFF"/>
                <w:sz w:val="24"/>
                <w:szCs w:val="24"/>
              </w:rPr>
              <w:t xml:space="preserve">동별·위치별 유의사항</w:t>
            </w:r>
          </w:p>
        </w:tc>
      </w:tr>
    </w:tbl>
    <w:p>
      <w:pPr>
        <w:keepLines/>
        <w:spacing w:after="120" w:line="276" w:lineRule="auto"/>
      </w:pPr>
      <w:r>
        <w:t xml:space="preserve">공고문은 18개동(4031동~4048동) 각각에 대해 이동통신설비·주차장 진입동선·근린생활시설·부대복리시설 인접 여부를 개별적으로 명시하고 있습니다. 아래는 실제 단지배치도입니다.</w:t>
      </w:r>
    </w:p>
    <w:p>
      <w:pPr>
        <w:jc w:val="center"/>
      </w:pPr>
      <w:r>
        <w:drawing>
          <wp:inline distT="0" distB="0" distL="0" distR="0">
            <wp:extent cx="5524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52775"/>
                    </a:xfrm>
                    <a:prstGeom prst="rect">
                      <a:avLst/>
                    </a:prstGeom>
                  </pic:spPr>
                </pic:pic>
              </a:graphicData>
            </a:graphic>
          </wp:inline>
        </w:drawing>
      </w:r>
    </w:p>
    <w:p>
      <w:pPr>
        <w:keepLines/>
        <w:spacing w:after="200" w:before="60" w:line="276" w:lineRule="auto"/>
      </w:pPr>
      <w:r>
        <w:rPr>
          <w:b/>
          <w:bCs/>
          <w:color w:val="595959"/>
          <w:sz w:val="18"/>
          <w:szCs w:val="18"/>
        </w:rPr>
        <w:t xml:space="preserve">[그림 2] 동탄 파라곤3차 단지배치도</w:t>
      </w:r>
      <w:r>
        <w:rPr>
          <w:i/>
          <w:iCs/>
          <w:color w:val="999999"/>
          <w:sz w:val="18"/>
          <w:szCs w:val="18"/>
        </w:rPr>
        <w:t xml:space="preserve">   자료: 사업주체(㈜바우하우스) 공식 분양 홈페이지 게재 자료</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1900"/>
        <w:gridCol w:w="3550"/>
        <w:gridCol w:w="3900"/>
      </w:tblGrid>
      <w:tr>
        <w:trPr>
          <w:cantSplit/>
        </w:trPr>
        <w:tc>
          <w:tcPr>
            <w:tcW w:type="dxa" w:w="1900"/>
            <w:shd w:fill="1F3864" w:val="clear"/>
            <w:tcMar>
              <w:top w:type="dxa" w:w="90"/>
              <w:left w:type="dxa" w:w="120"/>
              <w:bottom w:type="dxa" w:w="90"/>
              <w:right w:type="dxa" w:w="120"/>
            </w:tcMar>
            <w:vAlign w:val="center"/>
          </w:tcPr>
          <w:p>
            <w:pPr>
              <w:jc w:val="left"/>
            </w:pPr>
            <w:r>
              <w:rPr>
                <w:b/>
                <w:bCs/>
                <w:color w:val="FFFFFF"/>
                <w:sz w:val="20"/>
                <w:szCs w:val="20"/>
              </w:rPr>
              <w:t xml:space="preserve">구분</w:t>
            </w:r>
          </w:p>
        </w:tc>
        <w:tc>
          <w:tcPr>
            <w:tcW w:type="dxa" w:w="3550"/>
            <w:shd w:fill="1F3864" w:val="clear"/>
            <w:tcMar>
              <w:top w:type="dxa" w:w="90"/>
              <w:left w:type="dxa" w:w="120"/>
              <w:bottom w:type="dxa" w:w="90"/>
              <w:right w:type="dxa" w:w="120"/>
            </w:tcMar>
            <w:vAlign w:val="center"/>
          </w:tcPr>
          <w:p>
            <w:pPr>
              <w:jc w:val="left"/>
            </w:pPr>
            <w:r>
              <w:rPr>
                <w:b/>
                <w:bCs/>
                <w:color w:val="FFFFFF"/>
                <w:sz w:val="20"/>
                <w:szCs w:val="20"/>
              </w:rPr>
              <w:t xml:space="preserve">대상 동</w:t>
            </w:r>
          </w:p>
        </w:tc>
        <w:tc>
          <w:tcPr>
            <w:tcW w:type="dxa" w:w="3900"/>
            <w:shd w:fill="1F3864" w:val="clear"/>
            <w:tcMar>
              <w:top w:type="dxa" w:w="90"/>
              <w:left w:type="dxa" w:w="120"/>
              <w:bottom w:type="dxa" w:w="90"/>
              <w:right w:type="dxa" w:w="120"/>
            </w:tcMar>
            <w:vAlign w:val="center"/>
          </w:tcPr>
          <w:p>
            <w:pPr>
              <w:jc w:val="left"/>
            </w:pPr>
            <w:r>
              <w:rPr>
                <w:b/>
                <w:bCs/>
                <w:color w:val="FFFFFF"/>
                <w:sz w:val="20"/>
                <w:szCs w:val="20"/>
              </w:rPr>
              <w:t xml:space="preserve">유의사항</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이동통신 안테나(옥상)</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4031·4033·4036·4042·4043·4046·4047동</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전파 상태에 따라 위치 변경 가능, 손해배상·위치변경 이의제기 불가</w:t>
            </w:r>
          </w:p>
        </w:tc>
      </w:tr>
      <w:tr>
        <w:trPr>
          <w:cantSplit/>
        </w:trPr>
        <w:tc>
          <w:tcPr>
            <w:tcW w:type="dxa" w:w="1900"/>
            <w:tcMar>
              <w:top w:type="dxa" w:w="90"/>
              <w:left w:type="dxa" w:w="120"/>
              <w:bottom w:type="dxa" w:w="90"/>
              <w:right w:type="dxa" w:w="120"/>
            </w:tcMar>
            <w:vAlign w:val="center"/>
          </w:tcPr>
          <w:p>
            <w:pPr>
              <w:jc w:val="left"/>
            </w:pPr>
            <w:r>
              <w:rPr>
                <w:b w:val="false"/>
                <w:bCs w:val="false"/>
                <w:color w:val="000000"/>
                <w:sz w:val="20"/>
                <w:szCs w:val="20"/>
              </w:rPr>
              <w:t xml:space="preserve">이동통신 중계설비(지하)</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4043·4036·4041동 휀룸, 4045동 PIT</w:t>
            </w:r>
          </w:p>
        </w:tc>
        <w:tc>
          <w:tcPr>
            <w:tcW w:type="dxa" w:w="3900"/>
            <w:tcMar>
              <w:top w:type="dxa" w:w="90"/>
              <w:left w:type="dxa" w:w="120"/>
              <w:bottom w:type="dxa" w:w="90"/>
              <w:right w:type="dxa" w:w="120"/>
            </w:tcMar>
            <w:vAlign w:val="center"/>
          </w:tcPr>
          <w:p>
            <w:pPr>
              <w:jc w:val="left"/>
            </w:pPr>
            <w:r>
              <w:rPr>
                <w:b w:val="false"/>
                <w:bCs w:val="false"/>
                <w:color w:val="000000"/>
                <w:sz w:val="20"/>
                <w:szCs w:val="20"/>
              </w:rPr>
              <w:t xml:space="preserve">상동</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TV공청·무선통신 안테나</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4046동</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지붕 TV공청 안테나 + 지상 일부구간 무선통신 안테나</w:t>
            </w:r>
          </w:p>
        </w:tc>
      </w:tr>
      <w:tr>
        <w:trPr>
          <w:cantSplit/>
        </w:trPr>
        <w:tc>
          <w:tcPr>
            <w:tcW w:type="dxa" w:w="1900"/>
            <w:tcMar>
              <w:top w:type="dxa" w:w="90"/>
              <w:left w:type="dxa" w:w="120"/>
              <w:bottom w:type="dxa" w:w="90"/>
              <w:right w:type="dxa" w:w="120"/>
            </w:tcMar>
            <w:vAlign w:val="center"/>
          </w:tcPr>
          <w:p>
            <w:pPr>
              <w:jc w:val="left"/>
            </w:pPr>
            <w:r>
              <w:rPr>
                <w:b w:val="false"/>
                <w:bCs w:val="false"/>
                <w:color w:val="000000"/>
                <w:sz w:val="20"/>
                <w:szCs w:val="20"/>
              </w:rPr>
              <w:t xml:space="preserve">지하주차장 P1/P2 진입제약</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4043·4044동 제외 전체</w:t>
            </w:r>
          </w:p>
        </w:tc>
        <w:tc>
          <w:tcPr>
            <w:tcW w:type="dxa" w:w="3900"/>
            <w:tcMar>
              <w:top w:type="dxa" w:w="90"/>
              <w:left w:type="dxa" w:w="120"/>
              <w:bottom w:type="dxa" w:w="90"/>
              <w:right w:type="dxa" w:w="120"/>
            </w:tcMar>
            <w:vAlign w:val="center"/>
          </w:tcPr>
          <w:p>
            <w:pPr>
              <w:jc w:val="left"/>
            </w:pPr>
            <w:r>
              <w:rPr>
                <w:b w:val="false"/>
                <w:bCs w:val="false"/>
                <w:color w:val="000000"/>
                <w:sz w:val="20"/>
                <w:szCs w:val="20"/>
              </w:rPr>
              <w:t xml:space="preserve">동출입구에서 1개 구역만 직접 진입 가능, 다른 층 이용 시 외부계단 등으로 동선 길어짐 — 이의제기 불가</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지하주차장 출입구 인접 소음</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4031·4032동 사이, 4033동 동측</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차량통행 소음·간섭 — 해당 저층 세대</w:t>
            </w:r>
          </w:p>
        </w:tc>
      </w:tr>
      <w:tr>
        <w:trPr>
          <w:cantSplit/>
        </w:trPr>
        <w:tc>
          <w:tcPr>
            <w:tcW w:type="dxa" w:w="1900"/>
            <w:tcMar>
              <w:top w:type="dxa" w:w="90"/>
              <w:left w:type="dxa" w:w="120"/>
              <w:bottom w:type="dxa" w:w="90"/>
              <w:right w:type="dxa" w:w="120"/>
            </w:tcMar>
            <w:vAlign w:val="center"/>
          </w:tcPr>
          <w:p>
            <w:pPr>
              <w:jc w:val="left"/>
            </w:pPr>
            <w:r>
              <w:rPr>
                <w:b w:val="false"/>
                <w:bCs w:val="false"/>
                <w:color w:val="000000"/>
                <w:sz w:val="20"/>
                <w:szCs w:val="20"/>
              </w:rPr>
              <w:t xml:space="preserve">토목옹벽(최고 약 6.0m)</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4031·4037~4039·4045~4048동</w:t>
            </w:r>
          </w:p>
        </w:tc>
        <w:tc>
          <w:tcPr>
            <w:tcW w:type="dxa" w:w="3900"/>
            <w:tcMar>
              <w:top w:type="dxa" w:w="90"/>
              <w:left w:type="dxa" w:w="120"/>
              <w:bottom w:type="dxa" w:w="90"/>
              <w:right w:type="dxa" w:w="120"/>
            </w:tcMar>
            <w:vAlign w:val="center"/>
          </w:tcPr>
          <w:p>
            <w:pPr>
              <w:jc w:val="left"/>
            </w:pPr>
            <w:r>
              <w:rPr>
                <w:b w:val="false"/>
                <w:bCs w:val="false"/>
                <w:color w:val="000000"/>
                <w:sz w:val="20"/>
                <w:szCs w:val="20"/>
              </w:rPr>
              <w:t xml:space="preserve">남서~남동측 경관녹지·연결녹지 인접 구간에 1~3단 설치 예정</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물류단지·냉동창고 인접</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4031·4037동 인근</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화성동탄물류단지·냉동창고(직선거리 약 0.8km) — 차량·냉각탑 소음, 교통혼잡</w:t>
            </w:r>
          </w:p>
        </w:tc>
      </w:tr>
      <w:tr>
        <w:trPr>
          <w:cantSplit/>
        </w:trPr>
        <w:tc>
          <w:tcPr>
            <w:tcW w:type="dxa" w:w="1900"/>
            <w:tcMar>
              <w:top w:type="dxa" w:w="90"/>
              <w:left w:type="dxa" w:w="120"/>
              <w:bottom w:type="dxa" w:w="90"/>
              <w:right w:type="dxa" w:w="120"/>
            </w:tcMar>
            <w:vAlign w:val="center"/>
          </w:tcPr>
          <w:p>
            <w:pPr>
              <w:jc w:val="left"/>
            </w:pPr>
            <w:r>
              <w:rPr>
                <w:b w:val="false"/>
                <w:bCs w:val="false"/>
                <w:color w:val="000000"/>
                <w:sz w:val="20"/>
                <w:szCs w:val="20"/>
              </w:rPr>
              <w:t xml:space="preserve">단지 출입구 문주·경비실</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4031·4032·4033동 북측</w:t>
            </w:r>
          </w:p>
        </w:tc>
        <w:tc>
          <w:tcPr>
            <w:tcW w:type="dxa" w:w="3900"/>
            <w:tcMar>
              <w:top w:type="dxa" w:w="90"/>
              <w:left w:type="dxa" w:w="120"/>
              <w:bottom w:type="dxa" w:w="90"/>
              <w:right w:type="dxa" w:w="120"/>
            </w:tcMar>
            <w:vAlign w:val="center"/>
          </w:tcPr>
          <w:p>
            <w:pPr>
              <w:jc w:val="left"/>
            </w:pPr>
            <w:r>
              <w:rPr>
                <w:b w:val="false"/>
                <w:bCs w:val="false"/>
                <w:color w:val="000000"/>
                <w:sz w:val="20"/>
                <w:szCs w:val="20"/>
              </w:rPr>
              <w:t xml:space="preserve">세대조망 영향, 시각적 제한 가능</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어린이집·유아놀이터</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4034동 북측, 4035동 동측</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중앙광장 인근 설치</w:t>
            </w:r>
          </w:p>
        </w:tc>
      </w:tr>
      <w:tr>
        <w:trPr>
          <w:cantSplit/>
        </w:trPr>
        <w:tc>
          <w:tcPr>
            <w:tcW w:type="dxa" w:w="1900"/>
            <w:tcMar>
              <w:top w:type="dxa" w:w="90"/>
              <w:left w:type="dxa" w:w="120"/>
              <w:bottom w:type="dxa" w:w="90"/>
              <w:right w:type="dxa" w:w="120"/>
            </w:tcMar>
            <w:vAlign w:val="center"/>
          </w:tcPr>
          <w:p>
            <w:pPr>
              <w:jc w:val="left"/>
            </w:pPr>
            <w:r>
              <w:rPr>
                <w:b w:val="false"/>
                <w:bCs w:val="false"/>
                <w:color w:val="000000"/>
                <w:sz w:val="20"/>
                <w:szCs w:val="20"/>
              </w:rPr>
              <w:t xml:space="preserve">경로당</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4045~4046동 북측</w:t>
            </w:r>
          </w:p>
        </w:tc>
        <w:tc>
          <w:tcPr>
            <w:tcW w:type="dxa" w:w="3900"/>
            <w:tcMar>
              <w:top w:type="dxa" w:w="90"/>
              <w:left w:type="dxa" w:w="120"/>
              <w:bottom w:type="dxa" w:w="90"/>
              <w:right w:type="dxa" w:w="120"/>
            </w:tcMar>
            <w:vAlign w:val="center"/>
          </w:tcPr>
          <w:p>
            <w:pPr>
              <w:jc w:val="left"/>
            </w:pPr>
            <w:r>
              <w:rPr>
                <w:b w:val="false"/>
                <w:bCs w:val="false"/>
                <w:color w:val="000000"/>
                <w:sz w:val="20"/>
                <w:szCs w:val="20"/>
              </w:rPr>
              <w:t xml:space="preserve">중앙광장 인근 설치</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근린생활시설</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북측 주출입구·부출입구 인근 각 1개동</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근린생활시설-1(부출입구측)·근린생활시설-2(북측)</w:t>
            </w:r>
          </w:p>
        </w:tc>
      </w:tr>
    </w:tbl>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“이동통신 기간 사업자 안테나(4031동, 4033동, 4036동, 4042동, 4043동, 4046동, 4047동 옥상층) 및 중계설비(지하P1층 4043동 휀룸, 4036동 휀룸, 4041동 휀룸, 4045동 PIT)가 설치되어 있으며 전파 상태에 따라 위치는 변경될 수 있으므로 추후 이에 대한 손해배상이나 위치 변경 등 일체의 이의를 제기할 수 없습니다.”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단지의 주차장은 지하 1개층 P1,P2 두 개 구역으로 계획되어 있으며 4043동, 4044동을 제외한 동은 동출입구에서 1개 구역으로만 직접 진입이 가능함. ... 다른 층을 사용하기 위해서는 외부 계단 등 이용하여 동선이 길어지므로... 일체의 이의를 사업주체에게 제기할 수 없습니다.”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“단지 서측 및 4031동, 4037동 인근으로 화성동탄물류단지 및 냉동창고(직선거리 약 0.8㎞)가 위치하여, 시설물의 이용 차량 및 냉각탑 등에 따른 소음, 교통혼잡 등이 발생 할 수 있음.”</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위 동에 해당하는 예비 임차인에게는 계약 전 개별 안내문을 발송하여 해당 동의 특수사항을 명확히 인지한 상태에서 계약이 이루어지도록 해 줄 것을 요청합니다. 특히 지하주차장 진입 제약(4043·4044동 제외 전체)은 생활 편의에 미치는 영향이 커 별도의 상세 안내가 필요합니다.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5   </w:t>
            </w:r>
            <w:r>
              <w:rPr>
                <w:b/>
                <w:bCs/>
                <w:color w:val="FFFFFF"/>
                <w:sz w:val="24"/>
                <w:szCs w:val="24"/>
              </w:rPr>
              <w:t xml:space="preserve">입지 분석</w:t>
            </w:r>
          </w:p>
        </w:tc>
      </w:tr>
    </w:tbl>
    <w:p>
      <w:pPr>
        <w:keepLines/>
        <w:spacing w:after="120" w:line="276" w:lineRule="auto"/>
      </w:pPr>
      <w:r>
        <w:t xml:space="preserve">카카오맵 로컬 API 실측 조회 및 V-World 용도지역 API 실측 폴리곤 데이터를 교차검증하여 입지를 평가하였습니다. 본 단지는 동탄2택지개발지구 내 위치하나, 원문 스스로 다수의 인접 기피시설·소음원을 열거하고 있다는 점이 특징적입니다.</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2200"/>
        <w:gridCol w:w="1400"/>
        <w:gridCol w:w="5750"/>
      </w:tblGrid>
      <w:tr>
        <w:trPr>
          <w:cantSplit/>
        </w:trPr>
        <w:tc>
          <w:tcPr>
            <w:tcW w:type="dxa" w:w="2200"/>
            <w:shd w:fill="1F3864" w:val="clear"/>
            <w:tcMar>
              <w:top w:type="dxa" w:w="90"/>
              <w:left w:type="dxa" w:w="120"/>
              <w:bottom w:type="dxa" w:w="90"/>
              <w:right w:type="dxa" w:w="120"/>
            </w:tcMar>
            <w:vAlign w:val="center"/>
          </w:tcPr>
          <w:p>
            <w:pPr>
              <w:jc w:val="left"/>
            </w:pPr>
            <w:r>
              <w:rPr>
                <w:b/>
                <w:bCs/>
                <w:color w:val="FFFFFF"/>
                <w:sz w:val="20"/>
                <w:szCs w:val="20"/>
              </w:rPr>
              <w:t xml:space="preserve">평가항목</w:t>
            </w:r>
          </w:p>
        </w:tc>
        <w:tc>
          <w:tcPr>
            <w:tcW w:type="dxa" w:w="1400"/>
            <w:shd w:fill="1F3864" w:val="clear"/>
            <w:tcMar>
              <w:top w:type="dxa" w:w="90"/>
              <w:left w:type="dxa" w:w="120"/>
              <w:bottom w:type="dxa" w:w="90"/>
              <w:right w:type="dxa" w:w="120"/>
            </w:tcMar>
            <w:vAlign w:val="center"/>
          </w:tcPr>
          <w:p>
            <w:pPr>
              <w:jc w:val="center"/>
            </w:pPr>
            <w:r>
              <w:rPr>
                <w:b/>
                <w:bCs/>
                <w:color w:val="FFFFFF"/>
                <w:sz w:val="20"/>
                <w:szCs w:val="20"/>
              </w:rPr>
              <w:t xml:space="preserve">등급</w:t>
            </w:r>
          </w:p>
        </w:tc>
        <w:tc>
          <w:tcPr>
            <w:tcW w:type="dxa" w:w="5750"/>
            <w:shd w:fill="1F3864" w:val="clear"/>
            <w:tcMar>
              <w:top w:type="dxa" w:w="90"/>
              <w:left w:type="dxa" w:w="120"/>
              <w:bottom w:type="dxa" w:w="90"/>
              <w:right w:type="dxa" w:w="120"/>
            </w:tcMar>
            <w:vAlign w:val="center"/>
          </w:tcPr>
          <w:p>
            <w:pPr>
              <w:jc w:val="left"/>
            </w:pPr>
            <w:r>
              <w:rPr>
                <w:b/>
                <w:bCs/>
                <w:color w:val="FFFFFF"/>
                <w:sz w:val="20"/>
                <w:szCs w:val="20"/>
              </w:rPr>
              <w:t xml:space="preserve">근거</w:t>
            </w:r>
          </w:p>
        </w:tc>
      </w:tr>
      <w:tr>
        <w:trPr>
          <w:cantSplit/>
        </w:trPr>
        <w:tc>
          <w:tcPr>
            <w:tcW w:type="dxa" w:w="2200"/>
            <w:shd w:fill="F7F3EA" w:val="clear"/>
            <w:tcMar>
              <w:top w:type="dxa" w:w="90"/>
              <w:left w:type="dxa" w:w="120"/>
              <w:bottom w:type="dxa" w:w="90"/>
              <w:right w:type="dxa" w:w="120"/>
            </w:tcMar>
            <w:vAlign w:val="center"/>
          </w:tcPr>
          <w:p>
            <w:pPr>
              <w:jc w:val="left"/>
            </w:pPr>
            <w:r>
              <w:rPr>
                <w:b/>
                <w:bCs/>
                <w:color w:val="000000"/>
                <w:sz w:val="20"/>
                <w:szCs w:val="20"/>
              </w:rPr>
              <w:t xml:space="preserve">교통</w:t>
            </w:r>
          </w:p>
        </w:tc>
        <w:tc>
          <w:tcPr>
            <w:tcW w:type="dxa" w:w="1400"/>
            <w:shd w:fill="F7F3EA" w:val="clear"/>
            <w:tcMar>
              <w:top w:type="dxa" w:w="90"/>
              <w:left w:type="dxa" w:w="120"/>
              <w:bottom w:type="dxa" w:w="90"/>
              <w:right w:type="dxa" w:w="120"/>
            </w:tcMar>
            <w:vAlign w:val="center"/>
          </w:tcPr>
          <w:p>
            <w:pPr>
              <w:jc w:val="center"/>
            </w:pPr>
            <w:r>
              <w:rPr>
                <w:b/>
                <w:bCs/>
                <w:color w:val="B45309"/>
                <w:sz w:val="20"/>
                <w:szCs w:val="20"/>
              </w:rPr>
              <w:t xml:space="preserve">● 보통</w:t>
            </w:r>
          </w:p>
        </w:tc>
        <w:tc>
          <w:tcPr>
            <w:tcW w:type="dxa" w:w="5750"/>
            <w:shd w:fill="F7F3EA" w:val="clear"/>
            <w:tcMar>
              <w:top w:type="dxa" w:w="90"/>
              <w:left w:type="dxa" w:w="120"/>
              <w:bottom w:type="dxa" w:w="90"/>
              <w:right w:type="dxa" w:w="120"/>
            </w:tcMar>
            <w:vAlign w:val="center"/>
          </w:tcPr>
          <w:p>
            <w:pPr>
              <w:jc w:val="left"/>
            </w:pPr>
            <w:r>
              <w:rPr>
                <w:b w:val="false"/>
                <w:bCs w:val="false"/>
                <w:color w:val="000000"/>
                <w:sz w:val="19"/>
                <w:szCs w:val="19"/>
              </w:rPr>
              <w:t xml:space="preserve">동탄역(SRT, GTX-A 예정) 북서측 약 5.1km — 도보권은 아니며 원문도 직선거리로만 안내</w:t>
            </w:r>
          </w:p>
        </w:tc>
      </w:tr>
      <w:tr>
        <w:trPr>
          <w:cantSplit/>
        </w:trPr>
        <w:tc>
          <w:tcPr>
            <w:tcW w:type="dxa" w:w="2200"/>
            <w:tcMar>
              <w:top w:type="dxa" w:w="90"/>
              <w:left w:type="dxa" w:w="120"/>
              <w:bottom w:type="dxa" w:w="90"/>
              <w:right w:type="dxa" w:w="120"/>
            </w:tcMar>
            <w:vAlign w:val="center"/>
          </w:tcPr>
          <w:p>
            <w:pPr>
              <w:jc w:val="left"/>
            </w:pPr>
            <w:r>
              <w:rPr>
                <w:b/>
                <w:bCs/>
                <w:color w:val="000000"/>
                <w:sz w:val="20"/>
                <w:szCs w:val="20"/>
              </w:rPr>
              <w:t xml:space="preserve">생활편의</w:t>
            </w:r>
          </w:p>
        </w:tc>
        <w:tc>
          <w:tcPr>
            <w:tcW w:type="dxa" w:w="1400"/>
            <w:tcMar>
              <w:top w:type="dxa" w:w="90"/>
              <w:left w:type="dxa" w:w="120"/>
              <w:bottom w:type="dxa" w:w="90"/>
              <w:right w:type="dxa" w:w="120"/>
            </w:tcMar>
            <w:vAlign w:val="center"/>
          </w:tcPr>
          <w:p>
            <w:pPr>
              <w:jc w:val="center"/>
            </w:pPr>
            <w:r>
              <w:rPr>
                <w:b/>
                <w:bCs/>
                <w:color w:val="B45309"/>
                <w:sz w:val="20"/>
                <w:szCs w:val="20"/>
              </w:rPr>
              <w:t xml:space="preserve">● 보통</w:t>
            </w:r>
          </w:p>
        </w:tc>
        <w:tc>
          <w:tcPr>
            <w:tcW w:type="dxa" w:w="5750"/>
            <w:tcMar>
              <w:top w:type="dxa" w:w="90"/>
              <w:left w:type="dxa" w:w="120"/>
              <w:bottom w:type="dxa" w:w="90"/>
              <w:right w:type="dxa" w:w="120"/>
            </w:tcMar>
            <w:vAlign w:val="center"/>
          </w:tcPr>
          <w:p>
            <w:pPr>
              <w:jc w:val="left"/>
            </w:pPr>
            <w:r>
              <w:rPr>
                <w:b w:val="false"/>
                <w:bCs w:val="false"/>
                <w:color w:val="000000"/>
                <w:sz w:val="19"/>
                <w:szCs w:val="19"/>
              </w:rPr>
              <w:t xml:space="preserve">편의점 5개소가 반경1km 이내(카카오맵 실측), 대형마트는 반경1km 내 없음 — 택지지구 초기 입지 특성</w:t>
            </w:r>
          </w:p>
        </w:tc>
      </w:tr>
      <w:tr>
        <w:trPr>
          <w:cantSplit/>
        </w:trPr>
        <w:tc>
          <w:tcPr>
            <w:tcW w:type="dxa" w:w="2200"/>
            <w:shd w:fill="F7F3EA" w:val="clear"/>
            <w:tcMar>
              <w:top w:type="dxa" w:w="90"/>
              <w:left w:type="dxa" w:w="120"/>
              <w:bottom w:type="dxa" w:w="90"/>
              <w:right w:type="dxa" w:w="120"/>
            </w:tcMar>
            <w:vAlign w:val="center"/>
          </w:tcPr>
          <w:p>
            <w:pPr>
              <w:jc w:val="left"/>
            </w:pPr>
            <w:r>
              <w:rPr>
                <w:b/>
                <w:bCs/>
                <w:color w:val="000000"/>
                <w:sz w:val="20"/>
                <w:szCs w:val="20"/>
              </w:rPr>
              <w:t xml:space="preserve">교육환경</w:t>
            </w:r>
          </w:p>
        </w:tc>
        <w:tc>
          <w:tcPr>
            <w:tcW w:type="dxa" w:w="1400"/>
            <w:shd w:fill="F7F3EA" w:val="clear"/>
            <w:tcMar>
              <w:top w:type="dxa" w:w="90"/>
              <w:left w:type="dxa" w:w="120"/>
              <w:bottom w:type="dxa" w:w="90"/>
              <w:right w:type="dxa" w:w="120"/>
            </w:tcMar>
            <w:vAlign w:val="center"/>
          </w:tcPr>
          <w:p>
            <w:pPr>
              <w:jc w:val="center"/>
            </w:pPr>
            <w:r>
              <w:rPr>
                <w:b/>
                <w:bCs/>
                <w:color w:val="B45309"/>
                <w:sz w:val="20"/>
                <w:szCs w:val="20"/>
              </w:rPr>
              <w:t xml:space="preserve">● 보통</w:t>
            </w:r>
          </w:p>
        </w:tc>
        <w:tc>
          <w:tcPr>
            <w:tcW w:type="dxa" w:w="5750"/>
            <w:shd w:fill="F7F3EA" w:val="clear"/>
            <w:tcMar>
              <w:top w:type="dxa" w:w="90"/>
              <w:left w:type="dxa" w:w="120"/>
              <w:bottom w:type="dxa" w:w="90"/>
              <w:right w:type="dxa" w:w="120"/>
            </w:tcMar>
            <w:vAlign w:val="center"/>
          </w:tcPr>
          <w:p>
            <w:pPr>
              <w:jc w:val="left"/>
            </w:pPr>
            <w:r>
              <w:rPr>
                <w:b w:val="false"/>
                <w:bCs w:val="false"/>
                <w:color w:val="000000"/>
                <w:sz w:val="19"/>
                <w:szCs w:val="19"/>
              </w:rPr>
              <w:t xml:space="preserve">다올초등학교(2026.08 예정)·신동고등학교 500m대, 화성신동중·화성신동초 900m대(카카오맵 실측) — 원문은 "가칭)동탄23초(26.9.개교예정)"로 별도 표기, 학교배정은 관할교육청 소관</w:t>
            </w:r>
          </w:p>
        </w:tc>
      </w:tr>
      <w:tr>
        <w:trPr>
          <w:cantSplit/>
        </w:trPr>
        <w:tc>
          <w:tcPr>
            <w:tcW w:type="dxa" w:w="2200"/>
            <w:shd w:fill="FBEAEA" w:val="clear"/>
            <w:tcMar>
              <w:top w:type="dxa" w:w="90"/>
              <w:left w:type="dxa" w:w="120"/>
              <w:bottom w:type="dxa" w:w="90"/>
              <w:right w:type="dxa" w:w="120"/>
            </w:tcMar>
            <w:vAlign w:val="center"/>
          </w:tcPr>
          <w:p>
            <w:pPr>
              <w:jc w:val="left"/>
            </w:pPr>
            <w:r>
              <w:rPr>
                <w:b/>
                <w:bCs/>
                <w:color w:val="000000"/>
                <w:sz w:val="20"/>
                <w:szCs w:val="20"/>
              </w:rPr>
              <w:t xml:space="preserve">용도지역</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7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V-World 실측 결과 반경500m 내 근린상업지역(위험도 상) 존재 — 원문의 "북서측 0.6km 근린상업용지" 표기와 일치</w:t>
            </w:r>
          </w:p>
        </w:tc>
      </w:tr>
      <w:tr>
        <w:trPr>
          <w:cantSplit/>
        </w:trPr>
        <w:tc>
          <w:tcPr>
            <w:tcW w:type="dxa" w:w="2200"/>
            <w:shd w:fill="FBEAEA" w:val="clear"/>
            <w:tcMar>
              <w:top w:type="dxa" w:w="90"/>
              <w:left w:type="dxa" w:w="120"/>
              <w:bottom w:type="dxa" w:w="90"/>
              <w:right w:type="dxa" w:w="120"/>
            </w:tcMar>
            <w:vAlign w:val="center"/>
          </w:tcPr>
          <w:p>
            <w:pPr>
              <w:jc w:val="left"/>
            </w:pPr>
            <w:r>
              <w:rPr>
                <w:b/>
                <w:bCs/>
                <w:color w:val="000000"/>
                <w:sz w:val="20"/>
                <w:szCs w:val="20"/>
              </w:rPr>
              <w:t xml:space="preserve">인접 기피·유해시설</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7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군부대 항공기 소음지역, 위험물저장시설·가스공급시설, 송전철탑(남사~진위 송전선로), 물류단지·냉동창고(0.8km), 폐기물처리시설(3.8km) — 전부 원문이 직접 열거</w:t>
            </w:r>
          </w:p>
        </w:tc>
      </w:tr>
    </w:tbl>
    <w:p>
      <w:pPr>
        <w:jc w:val="center"/>
      </w:pPr>
      <w:r>
        <w:drawing>
          <wp:inline distT="0" distB="0" distL="0" distR="0">
            <wp:extent cx="44577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4095750"/>
                    </a:xfrm>
                    <a:prstGeom prst="rect">
                      <a:avLst/>
                    </a:prstGeom>
                  </pic:spPr>
                </pic:pic>
              </a:graphicData>
            </a:graphic>
          </wp:inline>
        </w:drawing>
      </w:r>
    </w:p>
    <w:p>
      <w:pPr>
        <w:keepLines/>
        <w:spacing w:after="200" w:before="60" w:line="276" w:lineRule="auto"/>
      </w:pPr>
      <w:r>
        <w:rPr>
          <w:b/>
          <w:bCs/>
          <w:color w:val="595959"/>
          <w:sz w:val="18"/>
          <w:szCs w:val="18"/>
        </w:rPr>
        <w:t xml:space="preserve">[그림 3] 단지 주변 시설 위치관계도 (카카오맵)</w:t>
      </w:r>
      <w:r>
        <w:rPr>
          <w:i/>
          <w:iCs/>
          <w:color w:val="999999"/>
          <w:sz w:val="18"/>
          <w:szCs w:val="18"/>
        </w:rPr>
        <w:t xml:space="preserve">   자료: 배경지도 ⓒ Kakao, 시설 위치·거리 카카오 로컬 API 실측</w:t>
      </w:r>
    </w:p>
    <w:p>
      <w:pPr>
        <w:jc w:val="center"/>
      </w:pPr>
      <w:r>
        <w:drawing>
          <wp:inline distT="0" distB="0" distL="0" distR="0">
            <wp:extent cx="44577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4095750"/>
                    </a:xfrm>
                    <a:prstGeom prst="rect">
                      <a:avLst/>
                    </a:prstGeom>
                  </pic:spPr>
                </pic:pic>
              </a:graphicData>
            </a:graphic>
          </wp:inline>
        </w:drawing>
      </w:r>
    </w:p>
    <w:p>
      <w:pPr>
        <w:keepLines/>
        <w:spacing w:after="200" w:before="60" w:line="276" w:lineRule="auto"/>
      </w:pPr>
      <w:r>
        <w:rPr>
          <w:b/>
          <w:bCs/>
          <w:color w:val="595959"/>
          <w:sz w:val="18"/>
          <w:szCs w:val="18"/>
        </w:rPr>
        <w:t xml:space="preserve">[그림 4] 단지 주변 용도지역 현황 (반경 500m)</w:t>
      </w:r>
      <w:r>
        <w:rPr>
          <w:i/>
          <w:iCs/>
          <w:color w:val="999999"/>
          <w:sz w:val="18"/>
          <w:szCs w:val="18"/>
        </w:rPr>
        <w:t xml:space="preserve">   자료: V-World 2D 데이터 API 실측 폴리곤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“당해 지구는 인근 군부대 항공기에 의한 소음 발생지역임.”</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“당해 지구 내에는 위험물저장 및 처리시설(주유소 등), 공급처리시설(변전소, 케이블 헤드 등), 가스공급시설 등의 공공시설이 설치될 예정임. 당해 지구 내에는 기존 공장(연구소, 물류시설 등) 및 기타시설(주유소 등)이 존치 예정임.”</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“단지 남측으로 한전 송전철탑(C/H) [남사~진위 송전선로]이 인접해 있으며 소음이 발생 할 수 있음.”</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“단지 서측의 동탄JC 남동측에 폐기물처리시설(크린에너지센터_음식물류폐기물처리시설, 직선거리 약 3.8㎞)을 설치, 운영 중에 있으니, 청약 및 계약체결 전 이를 확인하시기 바람.”</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원문이 직접 열거한 인접 기피시설(군부대 소음구역, 물류단지·냉동창고, 송전철탑, 폐기물처리 시설)의 정확한 위치와 소음·환경영향평가 결과를 계약 전 입주예정자에게 도면과 함께 공개해 줄 것을 요청합니다.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6   </w:t>
            </w:r>
            <w:r>
              <w:rPr>
                <w:b/>
                <w:bCs/>
                <w:color w:val="FFFFFF"/>
                <w:sz w:val="24"/>
                <w:szCs w:val="24"/>
              </w:rPr>
              <w:t xml:space="preserve">구조·조경·전기 심층분석</w:t>
            </w:r>
          </w:p>
        </w:tc>
      </w:tr>
    </w:tbl>
    <w:p>
      <w:pPr>
        <w:keepNext/>
        <w:keepLines/>
        <w:pBdr>
          <w:left w:val="single" w:color="C89B3C" w:sz="18" w:space="6"/>
        </w:pBdr>
        <w:spacing w:after="100" w:before="240" w:line="276" w:lineRule="auto"/>
        <w:ind w:left="80"/>
      </w:pPr>
      <w:r>
        <w:rPr>
          <w:b/>
          <w:bCs/>
          <w:color w:val="1F3864"/>
          <w:sz w:val="22"/>
          <w:szCs w:val="22"/>
        </w:rPr>
        <w:t xml:space="preserve">① 구조·내진성능</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건축물은 '건축법 제48조의3', '건축물의 구조기준 등에 관한 규칙 제60조의2'에 따라 다음과 같이 내진능력을 공개함. (단, 추가지반조사 및 실시설계를 통해 지반종류 및 내진설계범주, 반응수정계수는 변경될 수 있음.) ... 본 건축물에는 내진설계가 반영되어 있으며 내진능력은 수정메르칼리진도등급(MMI) VII-0.200g 임”</w:t>
      </w:r>
    </w:p>
    <w:tbl>
      <w:tblPr>
        <w:tblW w:type="dxa" w:w="8750"/>
        <w:tblBorders>
          <w:top w:val="single" w:color="E2DED4" w:sz="4"/>
          <w:left w:val="single" w:color="E2DED4" w:sz="4"/>
          <w:bottom w:val="single" w:color="E2DED4" w:sz="4"/>
          <w:right w:val="single" w:color="E2DED4" w:sz="4"/>
          <w:insideH w:val="single" w:color="E2DED4" w:sz="4"/>
          <w:insideV w:val="single" w:color="E2DED4" w:sz="4"/>
        </w:tblBorders>
      </w:tblPr>
      <w:tblGrid>
        <w:gridCol w:w="2600"/>
        <w:gridCol w:w="6150"/>
      </w:tblGrid>
      <w:tr>
        <w:trPr>
          <w:cantSplit/>
        </w:trPr>
        <w:tc>
          <w:tcPr>
            <w:tcW w:type="dxa" w:w="26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1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내진 상세수치</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유효 지반가속도(S) 0.176, 지반종류 S2~S4, 중요도계수(IE) 1.2, 내진설계범주 C, 내진등급 Ⅰ, 반응수정계수(R) 4.0 — 단, "추가지반조사 및 실시설계를 통해... 변경될 수 있음" 단서 있음</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구조형식 변경가능</w:t>
            </w:r>
          </w:p>
        </w:tc>
        <w:tc>
          <w:tcPr>
            <w:tcW w:type="dxa" w:w="6150"/>
            <w:tcMar>
              <w:top w:type="dxa" w:w="90"/>
              <w:left w:type="dxa" w:w="120"/>
              <w:bottom w:type="dxa" w:w="90"/>
              <w:right w:type="dxa" w:w="120"/>
            </w:tcMar>
            <w:vAlign w:val="center"/>
          </w:tcPr>
          <w:p>
            <w:pPr>
              <w:jc w:val="left"/>
            </w:pPr>
            <w:r>
              <w:rPr>
                <w:b w:val="false"/>
                <w:bCs w:val="false"/>
                <w:color w:val="000000"/>
                <w:sz w:val="20"/>
                <w:szCs w:val="20"/>
              </w:rPr>
              <w:t xml:space="preserve">"구조설계(지정, 흙막이, 구조부재, 구조시스템 등)는 실시설계 시 상세검토를 통하여 변경될 수 있음"</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지하주차장 층고</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차로 유효높이 2.7m(규격초과 차량은 지상 비상차로 이용), 주차구획면 유효높이 2.1m(시공 시 배관설치로 일부구간 변경 가능)</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지하주차장·EV홀 결로</w:t>
            </w:r>
          </w:p>
        </w:tc>
        <w:tc>
          <w:tcPr>
            <w:tcW w:type="dxa" w:w="6150"/>
            <w:tcMar>
              <w:top w:type="dxa" w:w="90"/>
              <w:left w:type="dxa" w:w="120"/>
              <w:bottom w:type="dxa" w:w="90"/>
              <w:right w:type="dxa" w:w="120"/>
            </w:tcMar>
            <w:vAlign w:val="center"/>
          </w:tcPr>
          <w:p>
            <w:pPr>
              <w:jc w:val="left"/>
            </w:pPr>
            <w:r>
              <w:rPr>
                <w:b w:val="false"/>
                <w:bCs w:val="false"/>
                <w:color w:val="000000"/>
                <w:sz w:val="20"/>
                <w:szCs w:val="20"/>
              </w:rPr>
              <w:t xml:space="preserve">"여름철에 대기환경(온도차 등)의 영향으로 결로가 발생할 수 있음"</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피난설비</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하향식 피난구(화재 등 비상시에만 개방), 지상1층·필로티 상부층은 완강기로 대체, 동체감지기는 1~2층·최상층에 한하여 설치</w:t>
            </w:r>
          </w:p>
        </w:tc>
      </w:tr>
    </w:tbl>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내진 상세수치가 "추가지반조사 및 실시설계를 통해 변경될 수 있음"으로 되어 있는 만큼, 최종 확정 수치를 사용검사 전 서면으로 공개해 줄 것을 요청합니다.</w:t>
      </w:r>
    </w:p>
    <w:p>
      <w:pPr>
        <w:keepNext/>
        <w:keepLines/>
        <w:pBdr>
          <w:left w:val="single" w:color="C89B3C" w:sz="18" w:space="6"/>
        </w:pBdr>
        <w:spacing w:after="100" w:before="240" w:line="276" w:lineRule="auto"/>
        <w:ind w:left="80"/>
      </w:pPr>
      <w:r>
        <w:rPr>
          <w:b/>
          <w:bCs/>
          <w:color w:val="1F3864"/>
          <w:sz w:val="22"/>
          <w:szCs w:val="22"/>
        </w:rPr>
        <w:t xml:space="preserve">② 조경</w:t>
      </w:r>
    </w:p>
    <w:tbl>
      <w:tblPr>
        <w:tblW w:type="dxa" w:w="8750"/>
        <w:tblBorders>
          <w:top w:val="single" w:color="E2DED4" w:sz="4"/>
          <w:left w:val="single" w:color="E2DED4" w:sz="4"/>
          <w:bottom w:val="single" w:color="E2DED4" w:sz="4"/>
          <w:right w:val="single" w:color="E2DED4" w:sz="4"/>
          <w:insideH w:val="single" w:color="E2DED4" w:sz="4"/>
          <w:insideV w:val="single" w:color="E2DED4" w:sz="4"/>
        </w:tblBorders>
      </w:tblPr>
      <w:tblGrid>
        <w:gridCol w:w="2600"/>
        <w:gridCol w:w="6150"/>
      </w:tblGrid>
      <w:tr>
        <w:trPr>
          <w:cantSplit/>
        </w:trPr>
        <w:tc>
          <w:tcPr>
            <w:tcW w:type="dxa" w:w="26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1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조경 변경가능</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조경식재·레벨차·도로 및 보도 선형·시설물 위치 등이 실제 시공 또는 사업계획변경에 따라 변경 가능, "입주자의 개인 취향이나 민원에 의한 변경 대상이 될 수 없음"</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유지관리비 부담</w:t>
            </w:r>
          </w:p>
        </w:tc>
        <w:tc>
          <w:tcPr>
            <w:tcW w:type="dxa" w:w="6150"/>
            <w:tcMar>
              <w:top w:type="dxa" w:w="90"/>
              <w:left w:type="dxa" w:w="120"/>
              <w:bottom w:type="dxa" w:w="90"/>
              <w:right w:type="dxa" w:w="120"/>
            </w:tcMar>
            <w:vAlign w:val="center"/>
          </w:tcPr>
          <w:p>
            <w:pPr>
              <w:jc w:val="left"/>
            </w:pPr>
            <w:r>
              <w:rPr>
                <w:b w:val="false"/>
                <w:bCs w:val="false"/>
                <w:color w:val="000000"/>
                <w:sz w:val="20"/>
                <w:szCs w:val="20"/>
              </w:rPr>
              <w:t xml:space="preserve">공용조명(경관조명 등)·조형물·항공장애등·단지홍보용 사인물 등 유지·보수·관리 비용 일체는 입주자 부담</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최상층 조망 영향</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주동 옥상·옥탑·측벽 조형물·경관조명·항공장애·태양광 등 설치로 최상층 세대 조망 영향 가능, 유지보수 비용도 입주자 부담</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공용부분 임시 업무시설 사용</w:t>
            </w:r>
          </w:p>
        </w:tc>
        <w:tc>
          <w:tcPr>
            <w:tcW w:type="dxa" w:w="6150"/>
            <w:tcMar>
              <w:top w:type="dxa" w:w="90"/>
              <w:left w:type="dxa" w:w="120"/>
              <w:bottom w:type="dxa" w:w="90"/>
              <w:right w:type="dxa" w:w="120"/>
            </w:tcMar>
            <w:vAlign w:val="center"/>
          </w:tcPr>
          <w:p>
            <w:pPr>
              <w:jc w:val="left"/>
            </w:pPr>
            <w:r>
              <w:rPr>
                <w:b w:val="false"/>
                <w:bCs w:val="false"/>
                <w:color w:val="000000"/>
                <w:sz w:val="20"/>
                <w:szCs w:val="20"/>
              </w:rPr>
              <w:t xml:space="preserve">입주지원용으로 입주 시작일로부터 6개월간, 하자보수용으로 입주 개시일로부터 3년간 공용부분·복리시설 일부를 사업주체가 사용 가능 — 사용료 요구 불가</w:t>
            </w:r>
          </w:p>
        </w:tc>
      </w:tr>
    </w:tbl>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“주동 옥상, 옥탑 및 측벽에는 조형물 및 경관조명, 항공장애, 태양광 등 등이 설치되어 최상층 세대의 조망 등에 영향을 미칠 수 있으며 반드시 사전에 확인하여야 하고 운영. 유지보수 등에 대한 일체의 비용은 입주자의 부담임.”</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조경·경관시설 유지관리비의 항목별 예상 연간 비용을 표준임대차계약서 부속서류에 구체적으로 명시해 줄 것을 요청합니다.</w:t>
      </w:r>
    </w:p>
    <w:p>
      <w:pPr>
        <w:keepNext/>
        <w:keepLines/>
        <w:pBdr>
          <w:left w:val="single" w:color="C89B3C" w:sz="18" w:space="6"/>
        </w:pBdr>
        <w:spacing w:after="100" w:before="240" w:line="276" w:lineRule="auto"/>
        <w:ind w:left="80"/>
      </w:pPr>
      <w:r>
        <w:rPr>
          <w:b/>
          <w:bCs/>
          <w:color w:val="1F3864"/>
          <w:sz w:val="22"/>
          <w:szCs w:val="22"/>
        </w:rPr>
        <w:t xml:space="preserve">③ 전기설비</w:t>
      </w:r>
    </w:p>
    <w:tbl>
      <w:tblPr>
        <w:tblW w:type="dxa" w:w="8750"/>
        <w:tblBorders>
          <w:top w:val="single" w:color="E2DED4" w:sz="4"/>
          <w:left w:val="single" w:color="E2DED4" w:sz="4"/>
          <w:bottom w:val="single" w:color="E2DED4" w:sz="4"/>
          <w:right w:val="single" w:color="E2DED4" w:sz="4"/>
          <w:insideH w:val="single" w:color="E2DED4" w:sz="4"/>
          <w:insideV w:val="single" w:color="E2DED4" w:sz="4"/>
        </w:tblBorders>
      </w:tblPr>
      <w:tblGrid>
        <w:gridCol w:w="2600"/>
        <w:gridCol w:w="6150"/>
      </w:tblGrid>
      <w:tr>
        <w:trPr>
          <w:cantSplit/>
        </w:trPr>
        <w:tc>
          <w:tcPr>
            <w:tcW w:type="dxa" w:w="26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1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이동통신 중계기·안테나</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「전기통신사업법」제69조의2 등에 근거, 단지 내·공동주택 옥탑에 설치 예정 — 통신품질 위해 위치 변경 가능, 이의제기 불가</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태양광 발전설비</w:t>
            </w:r>
          </w:p>
        </w:tc>
        <w:tc>
          <w:tcPr>
            <w:tcW w:type="dxa" w:w="6150"/>
            <w:tcMar>
              <w:top w:type="dxa" w:w="90"/>
              <w:left w:type="dxa" w:w="120"/>
              <w:bottom w:type="dxa" w:w="90"/>
              <w:right w:type="dxa" w:w="120"/>
            </w:tcMar>
            <w:vAlign w:val="center"/>
          </w:tcPr>
          <w:p>
            <w:pPr>
              <w:jc w:val="left"/>
            </w:pPr>
            <w:r>
              <w:rPr>
                <w:b w:val="false"/>
                <w:bCs w:val="false"/>
                <w:color w:val="000000"/>
                <w:sz w:val="20"/>
                <w:szCs w:val="20"/>
              </w:rPr>
              <w:t xml:space="preserve">주동 옥상 설치, 일광 발전효율·음영 간섭에 따라 모델하우스 단지모형과 위치·용량 차이 가능. 인접 세대 패널 반사 눈부심 우려</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CCTV</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지하주차장·차량출입구·놀이터·엘리베이터 내부·주현관 출입구 등에 설치, 실 시공 시 수량·위치 변경 가능. "사생활권이 침해될 수 있으며 향후 이에 따른 민원 및 이의를 제기할 수 없음"</w:t>
            </w:r>
          </w:p>
        </w:tc>
      </w:tr>
    </w:tbl>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“안전 관리 시스템을 위한 CCTV의 설치로 인해 사생활권이 침해될 수 있으며 향후 이에 따른 민원 및 이의를 제기할 수 없음.”</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이동통신 설비·태양광 설비가 설치되는 동에는 계약 전 개별 고지하고, CCTV 설치 위치 확정안을 입주 전 공개해 줄 것을 요청합니다.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7   </w:t>
            </w:r>
            <w:r>
              <w:rPr>
                <w:b/>
                <w:bCs/>
                <w:color w:val="FFFFFF"/>
                <w:sz w:val="24"/>
                <w:szCs w:val="24"/>
              </w:rPr>
              <w:t xml:space="preserve">마감사양 및 유상옵션</w:t>
            </w:r>
          </w:p>
        </w:tc>
      </w:tr>
    </w:tbl>
    <w:p>
      <w:pPr>
        <w:keepLines/>
        <w:spacing w:after="120" w:line="276" w:lineRule="auto"/>
      </w:pPr>
      <w:r>
        <w:t xml:space="preserve">원문 "추가선택품목" 항목에 타입별(82, 108, 139) 유상옵션 가격이 세분화되어 있습니다(원문 첨부 이미지 28개 전수 확인). 우선분양전환형 선택 시 이 중 상당수가 무상 제공되는 것으로 홈페이지에 안내되어 있으나(제2장 참조), 정확한 무상 범위는 계약 전 서면 확인이 필요합니다. 다수 항목에 "추후 이의제기 및 변경요청 불가", "미설치에 따른 환불 요구 불가" 조항이 반복 부기되어 있습니다.</w:t>
      </w:r>
    </w:p>
    <w:tbl>
      <w:tblPr>
        <w:tblW w:type="dxa" w:w="8650"/>
        <w:tblBorders>
          <w:top w:val="single" w:color="E2DED4" w:sz="4"/>
          <w:left w:val="single" w:color="E2DED4" w:sz="4"/>
          <w:bottom w:val="single" w:color="E2DED4" w:sz="4"/>
          <w:right w:val="single" w:color="E2DED4" w:sz="4"/>
          <w:insideH w:val="single" w:color="E2DED4" w:sz="4"/>
          <w:insideV w:val="single" w:color="E2DED4" w:sz="4"/>
        </w:tblBorders>
      </w:tblPr>
      <w:tblGrid>
        <w:gridCol w:w="2000"/>
        <w:gridCol w:w="3350"/>
        <w:gridCol w:w="3300"/>
      </w:tblGrid>
      <w:tr>
        <w:trPr>
          <w:cantSplit/>
        </w:trPr>
        <w:tc>
          <w:tcPr>
            <w:tcW w:type="dxa" w:w="20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3350"/>
            <w:shd w:fill="1F3864" w:val="clear"/>
            <w:tcMar>
              <w:top w:type="dxa" w:w="90"/>
              <w:left w:type="dxa" w:w="120"/>
              <w:bottom w:type="dxa" w:w="90"/>
              <w:right w:type="dxa" w:w="120"/>
            </w:tcMar>
            <w:vAlign w:val="center"/>
          </w:tcPr>
          <w:p>
            <w:pPr>
              <w:jc w:val="left"/>
            </w:pPr>
            <w:r>
              <w:rPr>
                <w:b/>
                <w:bCs/>
                <w:color w:val="FFFFFF"/>
                <w:sz w:val="20"/>
                <w:szCs w:val="20"/>
              </w:rPr>
              <w:t xml:space="preserve">82타입</w:t>
            </w:r>
          </w:p>
        </w:tc>
        <w:tc>
          <w:tcPr>
            <w:tcW w:type="dxa" w:w="3300"/>
            <w:shd w:fill="1F3864" w:val="clear"/>
            <w:tcMar>
              <w:top w:type="dxa" w:w="90"/>
              <w:left w:type="dxa" w:w="120"/>
              <w:bottom w:type="dxa" w:w="90"/>
              <w:right w:type="dxa" w:w="120"/>
            </w:tcMar>
            <w:vAlign w:val="center"/>
          </w:tcPr>
          <w:p>
            <w:pPr>
              <w:jc w:val="left"/>
            </w:pPr>
            <w:r>
              <w:rPr>
                <w:b/>
                <w:bCs/>
                <w:color w:val="FFFFFF"/>
                <w:sz w:val="20"/>
                <w:szCs w:val="20"/>
              </w:rPr>
              <w:t xml:space="preserve">108타입</w:t>
            </w:r>
          </w:p>
        </w:tc>
      </w:tr>
      <w:tr>
        <w:trPr>
          <w:cantSplit/>
        </w:trP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시스템에어컨</w:t>
            </w:r>
          </w:p>
        </w:tc>
        <w:tc>
          <w:tcPr>
            <w:tcW w:type="dxa" w:w="33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3개소 5,100,000 / 5개소 8,000,000원</w:t>
            </w:r>
          </w:p>
        </w:tc>
        <w:tc>
          <w:tcPr>
            <w:tcW w:type="dxa" w:w="33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3개소 5,200,000 / 6개소 9,700,000원</w:t>
            </w:r>
          </w:p>
        </w:tc>
      </w:tr>
      <w:tr>
        <w:trPr>
          <w:cantSplit/>
        </w:trPr>
        <w:tc>
          <w:tcPr>
            <w:tcW w:type="dxa" w:w="2000"/>
            <w:tcMar>
              <w:top w:type="dxa" w:w="90"/>
              <w:left w:type="dxa" w:w="120"/>
              <w:bottom w:type="dxa" w:w="90"/>
              <w:right w:type="dxa" w:w="120"/>
            </w:tcMar>
            <w:vAlign w:val="center"/>
          </w:tcPr>
          <w:p>
            <w:pPr>
              <w:jc w:val="left"/>
            </w:pPr>
            <w:r>
              <w:rPr>
                <w:b w:val="false"/>
                <w:bCs w:val="false"/>
                <w:color w:val="000000"/>
                <w:sz w:val="20"/>
                <w:szCs w:val="20"/>
              </w:rPr>
              <w:t xml:space="preserve">현관 특화(신발장+천장)</w:t>
            </w:r>
          </w:p>
        </w:tc>
        <w:tc>
          <w:tcPr>
            <w:tcW w:type="dxa" w:w="3350"/>
            <w:tcMar>
              <w:top w:type="dxa" w:w="90"/>
              <w:left w:type="dxa" w:w="120"/>
              <w:bottom w:type="dxa" w:w="90"/>
              <w:right w:type="dxa" w:w="120"/>
            </w:tcMar>
            <w:vAlign w:val="center"/>
          </w:tcPr>
          <w:p>
            <w:pPr>
              <w:jc w:val="left"/>
            </w:pPr>
            <w:r>
              <w:rPr>
                <w:b w:val="false"/>
                <w:bCs w:val="false"/>
                <w:color w:val="000000"/>
                <w:sz w:val="20"/>
                <w:szCs w:val="20"/>
              </w:rPr>
              <w:t xml:space="preserve">2,200,000원</w:t>
            </w:r>
          </w:p>
        </w:tc>
        <w:tc>
          <w:tcPr>
            <w:tcW w:type="dxa" w:w="3300"/>
            <w:tcMar>
              <w:top w:type="dxa" w:w="90"/>
              <w:left w:type="dxa" w:w="120"/>
              <w:bottom w:type="dxa" w:w="90"/>
              <w:right w:type="dxa" w:w="120"/>
            </w:tcMar>
            <w:vAlign w:val="center"/>
          </w:tcPr>
          <w:p>
            <w:pPr>
              <w:jc w:val="left"/>
            </w:pPr>
            <w:r>
              <w:rPr>
                <w:b w:val="false"/>
                <w:bCs w:val="false"/>
                <w:color w:val="000000"/>
                <w:sz w:val="20"/>
                <w:szCs w:val="20"/>
              </w:rPr>
              <w:t xml:space="preserve">4,300,000원</w:t>
            </w:r>
          </w:p>
        </w:tc>
      </w:tr>
      <w:tr>
        <w:trPr>
          <w:cantSplit/>
        </w:trP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주방 특화(상판·싱크볼·수전)</w:t>
            </w:r>
          </w:p>
        </w:tc>
        <w:tc>
          <w:tcPr>
            <w:tcW w:type="dxa" w:w="33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9,800,000 ~ 19,100,000원</w:t>
            </w:r>
          </w:p>
        </w:tc>
        <w:tc>
          <w:tcPr>
            <w:tcW w:type="dxa" w:w="33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10,700,000 ~ 24,600,000원</w:t>
            </w:r>
          </w:p>
        </w:tc>
      </w:tr>
      <w:tr>
        <w:trPr>
          <w:cantSplit/>
        </w:trPr>
        <w:tc>
          <w:tcPr>
            <w:tcW w:type="dxa" w:w="2000"/>
            <w:tcMar>
              <w:top w:type="dxa" w:w="90"/>
              <w:left w:type="dxa" w:w="120"/>
              <w:bottom w:type="dxa" w:w="90"/>
              <w:right w:type="dxa" w:w="120"/>
            </w:tcMar>
            <w:vAlign w:val="center"/>
          </w:tcPr>
          <w:p>
            <w:pPr>
              <w:jc w:val="left"/>
            </w:pPr>
            <w:r>
              <w:rPr>
                <w:b w:val="false"/>
                <w:bCs w:val="false"/>
                <w:color w:val="000000"/>
                <w:sz w:val="20"/>
                <w:szCs w:val="20"/>
              </w:rPr>
              <w:t xml:space="preserve">욕실 특화(부부+공용)</w:t>
            </w:r>
          </w:p>
        </w:tc>
        <w:tc>
          <w:tcPr>
            <w:tcW w:type="dxa" w:w="3350"/>
            <w:tcMar>
              <w:top w:type="dxa" w:w="90"/>
              <w:left w:type="dxa" w:w="120"/>
              <w:bottom w:type="dxa" w:w="90"/>
              <w:right w:type="dxa" w:w="120"/>
            </w:tcMar>
            <w:vAlign w:val="center"/>
          </w:tcPr>
          <w:p>
            <w:pPr>
              <w:jc w:val="left"/>
            </w:pPr>
            <w:r>
              <w:rPr>
                <w:b w:val="false"/>
                <w:bCs w:val="false"/>
                <w:color w:val="000000"/>
                <w:sz w:val="20"/>
                <w:szCs w:val="20"/>
              </w:rPr>
              <w:t xml:space="preserve">7,300,000원</w:t>
            </w:r>
          </w:p>
        </w:tc>
        <w:tc>
          <w:tcPr>
            <w:tcW w:type="dxa" w:w="3300"/>
            <w:tcMar>
              <w:top w:type="dxa" w:w="90"/>
              <w:left w:type="dxa" w:w="120"/>
              <w:bottom w:type="dxa" w:w="90"/>
              <w:right w:type="dxa" w:w="120"/>
            </w:tcMar>
            <w:vAlign w:val="center"/>
          </w:tcPr>
          <w:p>
            <w:pPr>
              <w:jc w:val="left"/>
            </w:pPr>
            <w:r>
              <w:rPr>
                <w:b w:val="false"/>
                <w:bCs w:val="false"/>
                <w:color w:val="000000"/>
                <w:sz w:val="20"/>
                <w:szCs w:val="20"/>
              </w:rPr>
              <w:t xml:space="preserve">6,500,000원</w:t>
            </w:r>
          </w:p>
        </w:tc>
      </w:tr>
      <w:tr>
        <w:trPr>
          <w:cantSplit/>
        </w:trP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침실1 드레스룸 특화</w:t>
            </w:r>
          </w:p>
        </w:tc>
        <w:tc>
          <w:tcPr>
            <w:tcW w:type="dxa" w:w="33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16,400,000원</w:t>
            </w:r>
          </w:p>
        </w:tc>
        <w:tc>
          <w:tcPr>
            <w:tcW w:type="dxa" w:w="33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18,500,000원</w:t>
            </w:r>
          </w:p>
        </w:tc>
      </w:tr>
      <w:tr>
        <w:trPr>
          <w:cantSplit/>
        </w:trPr>
        <w:tc>
          <w:tcPr>
            <w:tcW w:type="dxa" w:w="2000"/>
            <w:tcMar>
              <w:top w:type="dxa" w:w="90"/>
              <w:left w:type="dxa" w:w="120"/>
              <w:bottom w:type="dxa" w:w="90"/>
              <w:right w:type="dxa" w:w="120"/>
            </w:tcMar>
            <w:vAlign w:val="center"/>
          </w:tcPr>
          <w:p>
            <w:pPr>
              <w:jc w:val="left"/>
            </w:pPr>
            <w:r>
              <w:rPr>
                <w:b w:val="false"/>
                <w:bCs w:val="false"/>
                <w:color w:val="000000"/>
                <w:sz w:val="20"/>
                <w:szCs w:val="20"/>
              </w:rPr>
              <w:t xml:space="preserve">주방 가구(팬트리 등)</w:t>
            </w:r>
          </w:p>
        </w:tc>
        <w:tc>
          <w:tcPr>
            <w:tcW w:type="dxa" w:w="3350"/>
            <w:tcMar>
              <w:top w:type="dxa" w:w="90"/>
              <w:left w:type="dxa" w:w="120"/>
              <w:bottom w:type="dxa" w:w="90"/>
              <w:right w:type="dxa" w:w="120"/>
            </w:tcMar>
            <w:vAlign w:val="center"/>
          </w:tcPr>
          <w:p>
            <w:pPr>
              <w:jc w:val="left"/>
            </w:pPr>
            <w:r>
              <w:rPr>
                <w:b w:val="false"/>
                <w:bCs w:val="false"/>
                <w:color w:val="000000"/>
                <w:sz w:val="20"/>
                <w:szCs w:val="20"/>
              </w:rPr>
              <w:t xml:space="preserve">4,000,000 ~ 7,300,000원</w:t>
            </w:r>
          </w:p>
        </w:tc>
        <w:tc>
          <w:tcPr>
            <w:tcW w:type="dxa" w:w="3300"/>
            <w:tcMar>
              <w:top w:type="dxa" w:w="90"/>
              <w:left w:type="dxa" w:w="120"/>
              <w:bottom w:type="dxa" w:w="90"/>
              <w:right w:type="dxa" w:w="120"/>
            </w:tcMar>
            <w:vAlign w:val="center"/>
          </w:tcPr>
          <w:p>
            <w:pPr>
              <w:jc w:val="left"/>
            </w:pPr>
            <w:r>
              <w:rPr>
                <w:b w:val="false"/>
                <w:bCs w:val="false"/>
                <w:color w:val="000000"/>
                <w:sz w:val="20"/>
                <w:szCs w:val="20"/>
              </w:rPr>
              <w:t xml:space="preserve">4,500,000 ~ 12,700,000원</w:t>
            </w:r>
          </w:p>
        </w:tc>
      </w:tr>
    </w:tbl>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“천장형 시스템에어컨은 선택 계약을 체결한 후 이를 취소하는 경우 계약금은 위약금으로 시행자(건설사)에 귀속되며, 원상회복 또는 변경 공사를 위한 추가 비용을 부담하여야 하며, 해당 세대는 건축공정상 기본설치품목인 에어컨용 냉매매립배관이 설치되지 않습니다. ... 임대차 계약 체결시기 이후에는 천장형 시스템에어컨 신청 및 변경은 절대 불가합니다.”</w:t>
      </w:r>
    </w:p>
    <w:p>
      <w:pPr>
        <w:keepLines/>
        <w:spacing w:after="120" w:line="276" w:lineRule="auto"/>
      </w:pPr>
      <w:r>
        <w:t xml:space="preserve">변경공고 사항으로 82타입은 "주방벽 판넬 → 주방 아트월 변경", 108타입은 "침실2 붙박이장 삭제(통합형 침실 붙박이장 단일)", 전 타입 공통으로 "복합 환풍기(공용욕실, 부부욕실) 삭제"가 반영되었습니다.</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옵션 취소 시 위약금 비율 완화 및 옵션가격 산정근거(기본품목 원가 대비 증가분) 세부 내역서 제공, 그리고 우선분양전환형 선택 시 무상 제공되는 정확한 품목 리스트를 요청합니다.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8   </w:t>
            </w:r>
            <w:r>
              <w:rPr>
                <w:b/>
                <w:bCs/>
                <w:color w:val="FFFFFF"/>
                <w:sz w:val="24"/>
                <w:szCs w:val="24"/>
              </w:rPr>
              <w:t xml:space="preserve">임대조건 및 기타확인사항</w:t>
            </w:r>
          </w:p>
        </w:tc>
      </w:tr>
    </w:tbl>
    <w:p>
      <w:pPr>
        <w:keepNext/>
        <w:keepLines/>
        <w:pBdr>
          <w:left w:val="single" w:color="C89B3C" w:sz="18" w:space="6"/>
        </w:pBdr>
        <w:spacing w:after="100" w:before="240" w:line="276" w:lineRule="auto"/>
        <w:ind w:left="80"/>
      </w:pPr>
      <w:r>
        <w:rPr>
          <w:b/>
          <w:bCs/>
          <w:color w:val="1F3864"/>
          <w:sz w:val="22"/>
          <w:szCs w:val="22"/>
        </w:rPr>
        <w:t xml:space="preserve">임대조건</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“상기 임대조건의 최초 임대조건이며, 임대보증금은 「민간임대주택에 관한 특별법」 제44조 제2항 및 동법 시행령 제34조의2에 따라 5% 범위 내에서 주거비 물가지수, 인근 지역의 임대료 변동률 등을 고려하여 조정합니다. (자세한 사항은 표준임대차계약서에 명시됩니다.)”</w:t>
      </w:r>
    </w:p>
    <w:p>
      <w:pPr>
        <w:keepLines/>
        <w:spacing w:after="120" w:line="276" w:lineRule="auto"/>
      </w:pPr>
      <w:r>
        <w:t xml:space="preserve">법정 5% 상한 자체는 준수하는 구조이나, 정작 인상 주기(매년/2년 등)와 구체적 산정방식은 본 공고문에 없고 별도의 표준임대차계약서에 위임되어 있습니다.</w:t>
      </w:r>
    </w:p>
    <w:tbl>
      <w:tblPr>
        <w:tblW w:type="dxa" w:w="9150"/>
        <w:tblBorders>
          <w:top w:val="single" w:color="E2DED4" w:sz="4"/>
          <w:left w:val="single" w:color="E2DED4" w:sz="4"/>
          <w:bottom w:val="single" w:color="E2DED4" w:sz="4"/>
          <w:right w:val="single" w:color="E2DED4" w:sz="4"/>
          <w:insideH w:val="single" w:color="E2DED4" w:sz="4"/>
          <w:insideV w:val="single" w:color="E2DED4" w:sz="4"/>
        </w:tblBorders>
      </w:tblPr>
      <w:tblGrid>
        <w:gridCol w:w="2400"/>
        <w:gridCol w:w="6750"/>
      </w:tblGrid>
      <w:tr>
        <w:trPr>
          <w:cantSplit/>
        </w:trPr>
        <w:tc>
          <w:tcPr>
            <w:tcW w:type="dxa" w:w="24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7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임대의무기간</w:t>
            </w:r>
          </w:p>
        </w:tc>
        <w:tc>
          <w:tcPr>
            <w:tcW w:type="dxa" w:w="67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10년 이상 — "임차계약기간은 최대 10년이며, 만료일은 실제 입주일과 관계없이 최초 입주지정기간 시작일로부터 10년이 지난날까지"</w:t>
            </w:r>
          </w:p>
        </w:tc>
      </w:tr>
      <w:tr>
        <w:trPr>
          <w:cantSplit/>
        </w:trPr>
        <w:tc>
          <w:tcPr>
            <w:tcW w:type="dxa" w:w="2400"/>
            <w:tcMar>
              <w:top w:type="dxa" w:w="90"/>
              <w:left w:type="dxa" w:w="120"/>
              <w:bottom w:type="dxa" w:w="90"/>
              <w:right w:type="dxa" w:w="120"/>
            </w:tcMar>
            <w:vAlign w:val="center"/>
          </w:tcPr>
          <w:p>
            <w:pPr>
              <w:jc w:val="left"/>
            </w:pPr>
            <w:r>
              <w:rPr>
                <w:b w:val="false"/>
                <w:bCs w:val="false"/>
                <w:color w:val="000000"/>
                <w:sz w:val="20"/>
                <w:szCs w:val="20"/>
              </w:rPr>
              <w:t xml:space="preserve">계약 유형(홈페이지 확인)</w:t>
            </w:r>
          </w:p>
        </w:tc>
        <w:tc>
          <w:tcPr>
            <w:tcW w:type="dxa" w:w="6750"/>
            <w:tcMar>
              <w:top w:type="dxa" w:w="90"/>
              <w:left w:type="dxa" w:w="120"/>
              <w:bottom w:type="dxa" w:w="90"/>
              <w:right w:type="dxa" w:w="120"/>
            </w:tcMar>
            <w:vAlign w:val="center"/>
          </w:tcPr>
          <w:p>
            <w:pPr>
              <w:jc w:val="left"/>
            </w:pPr>
            <w:r>
              <w:rPr>
                <w:b w:val="false"/>
                <w:bCs w:val="false"/>
                <w:color w:val="000000"/>
                <w:sz w:val="20"/>
                <w:szCs w:val="20"/>
              </w:rPr>
              <w:t xml:space="preserve">단순임대형 / 임대+우선분양전환형(우선분양전환권 82타입 1,500만원·108타입 2,500만원 별도 매입) 중 선택</w:t>
            </w:r>
          </w:p>
        </w:tc>
      </w:tr>
      <w:tr>
        <w:trPr>
          <w:cantSplit/>
        </w:trPr>
        <w:tc>
          <w:tcPr>
            <w:tcW w:type="dxa" w:w="2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확정분양가(홈페이지 확인)</w:t>
            </w:r>
          </w:p>
        </w:tc>
        <w:tc>
          <w:tcPr>
            <w:tcW w:type="dxa" w:w="67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우선분양전환형 선택 시 82타입 약 7억 8,700만원, 108타입 약 10억 3,500만원대</w:t>
            </w:r>
          </w:p>
        </w:tc>
      </w:tr>
      <w:tr>
        <w:trPr>
          <w:cantSplit/>
        </w:trPr>
        <w:tc>
          <w:tcPr>
            <w:tcW w:type="dxa" w:w="2400"/>
            <w:tcMar>
              <w:top w:type="dxa" w:w="90"/>
              <w:left w:type="dxa" w:w="120"/>
              <w:bottom w:type="dxa" w:w="90"/>
              <w:right w:type="dxa" w:w="120"/>
            </w:tcMar>
            <w:vAlign w:val="center"/>
          </w:tcPr>
          <w:p>
            <w:pPr>
              <w:jc w:val="left"/>
            </w:pPr>
            <w:r>
              <w:rPr>
                <w:b w:val="false"/>
                <w:bCs w:val="false"/>
                <w:color w:val="000000"/>
                <w:sz w:val="20"/>
                <w:szCs w:val="20"/>
              </w:rPr>
              <w:t xml:space="preserve">주택도시기금 지원</w:t>
            </w:r>
          </w:p>
        </w:tc>
        <w:tc>
          <w:tcPr>
            <w:tcW w:type="dxa" w:w="6750"/>
            <w:tcMar>
              <w:top w:type="dxa" w:w="90"/>
              <w:left w:type="dxa" w:w="120"/>
              <w:bottom w:type="dxa" w:w="90"/>
              <w:right w:type="dxa" w:w="120"/>
            </w:tcMar>
            <w:vAlign w:val="center"/>
          </w:tcPr>
          <w:p>
            <w:pPr>
              <w:jc w:val="left"/>
            </w:pPr>
            <w:r>
              <w:rPr>
                <w:b w:val="false"/>
                <w:bCs w:val="false"/>
                <w:color w:val="000000"/>
                <w:sz w:val="20"/>
                <w:szCs w:val="20"/>
              </w:rPr>
              <w:t xml:space="preserve">82타입: 140,000,000원(우리은행 취급) — 108·139타입 지원금액은 원문에 별도 기재 없음</w:t>
            </w:r>
          </w:p>
        </w:tc>
      </w:tr>
      <w:tr>
        <w:trPr>
          <w:cantSplit/>
        </w:trPr>
        <w:tc>
          <w:tcPr>
            <w:tcW w:type="dxa" w:w="2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임대보증금 보증</w:t>
            </w:r>
          </w:p>
        </w:tc>
        <w:tc>
          <w:tcPr>
            <w:tcW w:type="dxa" w:w="67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주택도시보증공사(HUG) 임대보증금보증(사용검사 전), 보증서번호 05612025-704-0070000, 보증금액 411,793,450,000원</w:t>
            </w:r>
          </w:p>
        </w:tc>
      </w:tr>
      <w:tr>
        <w:trPr>
          <w:cantSplit/>
        </w:trPr>
        <w:tc>
          <w:tcPr>
            <w:tcW w:type="dxa" w:w="2400"/>
            <w:tcMar>
              <w:top w:type="dxa" w:w="90"/>
              <w:left w:type="dxa" w:w="120"/>
              <w:bottom w:type="dxa" w:w="90"/>
              <w:right w:type="dxa" w:w="120"/>
            </w:tcMar>
            <w:vAlign w:val="center"/>
          </w:tcPr>
          <w:p>
            <w:pPr>
              <w:jc w:val="left"/>
            </w:pPr>
            <w:r>
              <w:rPr>
                <w:b w:val="false"/>
                <w:bCs w:val="false"/>
                <w:color w:val="000000"/>
                <w:sz w:val="20"/>
                <w:szCs w:val="20"/>
              </w:rPr>
              <w:t xml:space="preserve">재당첨제한·분양가상한제</w:t>
            </w:r>
          </w:p>
        </w:tc>
        <w:tc>
          <w:tcPr>
            <w:tcW w:type="dxa" w:w="6750"/>
            <w:tcMar>
              <w:top w:type="dxa" w:w="90"/>
              <w:left w:type="dxa" w:w="120"/>
              <w:bottom w:type="dxa" w:w="90"/>
              <w:right w:type="dxa" w:w="120"/>
            </w:tcMar>
            <w:vAlign w:val="center"/>
          </w:tcPr>
          <w:p>
            <w:pPr>
              <w:jc w:val="left"/>
            </w:pPr>
            <w:r>
              <w:rPr>
                <w:b w:val="false"/>
                <w:bCs w:val="false"/>
                <w:color w:val="000000"/>
                <w:sz w:val="20"/>
                <w:szCs w:val="20"/>
              </w:rPr>
              <w:t xml:space="preserve">분양가상한제 적용주택 아님, 재당첨제한 미적용 — 단, 타 공공(지원민간)임대주택 중복입주 시 퇴거요건 발생 가능</w:t>
            </w:r>
          </w:p>
        </w:tc>
      </w:tr>
    </w:tbl>
    <w:p>
      <w:pPr>
        <w:keepNext/>
        <w:keepLines/>
        <w:pBdr>
          <w:left w:val="single" w:color="C89B3C" w:sz="18" w:space="6"/>
        </w:pBdr>
        <w:spacing w:after="100" w:before="240" w:line="276" w:lineRule="auto"/>
        <w:ind w:left="80"/>
      </w:pPr>
      <w:r>
        <w:rPr>
          <w:b/>
          <w:bCs/>
          <w:color w:val="1F3864"/>
          <w:sz w:val="22"/>
          <w:szCs w:val="22"/>
        </w:rPr>
        <w:t xml:space="preserve">무주택 자격유지의무 (유주택자 청약자 제외)</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“일반공급 당첨자 중 계약자는 임차인 모집공고일을 기준으로 「주택공급에 관한 규칙」 제2조에 따른 무주택세대구성원이어야 하고 기준시점부터 임대기간 종료일까지 무주택자격 요건을 유지하여야 합니다.”</w:t>
      </w:r>
    </w:p>
    <w:p>
      <w:pPr>
        <w:keepLines/>
        <w:spacing w:after="120" w:line="276" w:lineRule="auto"/>
      </w:pPr>
      <w:r>
        <w:t xml:space="preserve">제2장에서 확인한 바와 같이, 이 요건은 정식 청약(1·2순위) 당첨자에게 적용되는 것으로 파악되며, 잔여세대 선착순 공급 단계에서 자격 완화로 계약한 유주택자에게는 적용되지 않을 가능성이 높으나 개별 확인이 필요합니다.</w:t>
      </w:r>
    </w:p>
    <w:p>
      <w:pPr>
        <w:keepNext/>
        <w:keepLines/>
        <w:pBdr>
          <w:left w:val="single" w:color="C89B3C" w:sz="18" w:space="6"/>
        </w:pBdr>
        <w:spacing w:after="100" w:before="240" w:line="276" w:lineRule="auto"/>
        <w:ind w:left="80"/>
      </w:pPr>
      <w:r>
        <w:rPr>
          <w:b/>
          <w:bCs/>
          <w:color w:val="1F3864"/>
          <w:sz w:val="22"/>
          <w:szCs w:val="22"/>
        </w:rPr>
        <w:t xml:space="preserve">감리·시공 정보</w:t>
      </w:r>
    </w:p>
    <w:p>
      <w:pPr>
        <w:keepLines/>
        <w:spacing w:after="120" w:line="276" w:lineRule="auto"/>
      </w:pPr>
      <w:r>
        <w:t xml:space="preserve">사업주체(임대인)는 ㈜바우하우스(광주광역시 남구), 시공사는 ㈜라인산업입니다. 감리는 건축 ㈜동우이앤씨(약 29.6억원), 전기 ㈜신원기술단(약 8.6억원), 소방 ㈜건창기술단(약 3.9억원)이 각각 담당합니다.</w:t>
      </w:r>
    </w:p>
    <w:p>
      <w:pPr>
        <w:keepNext/>
        <w:keepLines/>
        <w:pBdr>
          <w:left w:val="single" w:color="C89B3C" w:sz="18" w:space="6"/>
        </w:pBdr>
        <w:spacing w:after="100" w:before="240" w:line="276" w:lineRule="auto"/>
        <w:ind w:left="80"/>
      </w:pPr>
      <w:r>
        <w:rPr>
          <w:b/>
          <w:bCs/>
          <w:color w:val="1F3864"/>
          <w:sz w:val="22"/>
          <w:szCs w:val="22"/>
        </w:rPr>
        <w:t xml:space="preserve">기타 확인사항</w:t>
      </w:r>
    </w:p>
    <w:tbl>
      <w:tblPr>
        <w:tblW w:type="dxa" w:w="9150"/>
        <w:tblBorders>
          <w:top w:val="single" w:color="E2DED4" w:sz="4"/>
          <w:left w:val="single" w:color="E2DED4" w:sz="4"/>
          <w:bottom w:val="single" w:color="E2DED4" w:sz="4"/>
          <w:right w:val="single" w:color="E2DED4" w:sz="4"/>
          <w:insideH w:val="single" w:color="E2DED4" w:sz="4"/>
          <w:insideV w:val="single" w:color="E2DED4" w:sz="4"/>
        </w:tblBorders>
      </w:tblPr>
      <w:tblGrid>
        <w:gridCol w:w="2400"/>
        <w:gridCol w:w="6750"/>
      </w:tblGrid>
      <w:tr>
        <w:trPr>
          <w:cantSplit/>
        </w:trPr>
        <w:tc>
          <w:tcPr>
            <w:tcW w:type="dxa" w:w="24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7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세대 구성</w:t>
            </w:r>
          </w:p>
        </w:tc>
        <w:tc>
          <w:tcPr>
            <w:tcW w:type="dxa" w:w="67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82타입(일반+신혼부부+청년 특별공급), 108·139타입 — 총 1,247세대(일반공급997+특별공급250: 신혼부부187·청년63)</w:t>
            </w:r>
          </w:p>
        </w:tc>
      </w:tr>
      <w:tr>
        <w:trPr>
          <w:cantSplit/>
        </w:trPr>
        <w:tc>
          <w:tcPr>
            <w:tcW w:type="dxa" w:w="2400"/>
            <w:tcMar>
              <w:top w:type="dxa" w:w="90"/>
              <w:left w:type="dxa" w:w="120"/>
              <w:bottom w:type="dxa" w:w="90"/>
              <w:right w:type="dxa" w:w="120"/>
            </w:tcMar>
            <w:vAlign w:val="center"/>
          </w:tcPr>
          <w:p>
            <w:pPr>
              <w:jc w:val="left"/>
            </w:pPr>
            <w:r>
              <w:rPr>
                <w:b w:val="false"/>
                <w:bCs w:val="false"/>
                <w:color w:val="000000"/>
                <w:sz w:val="20"/>
                <w:szCs w:val="20"/>
              </w:rPr>
              <w:t xml:space="preserve">계약해지 사유(요약)</w:t>
            </w:r>
          </w:p>
        </w:tc>
        <w:tc>
          <w:tcPr>
            <w:tcW w:type="dxa" w:w="6750"/>
            <w:tcMar>
              <w:top w:type="dxa" w:w="90"/>
              <w:left w:type="dxa" w:w="120"/>
              <w:bottom w:type="dxa" w:w="90"/>
              <w:right w:type="dxa" w:w="120"/>
            </w:tcMar>
            <w:vAlign w:val="center"/>
          </w:tcPr>
          <w:p>
            <w:pPr>
              <w:jc w:val="left"/>
            </w:pPr>
            <w:r>
              <w:rPr>
                <w:b w:val="false"/>
                <w:bCs w:val="false"/>
                <w:color w:val="000000"/>
                <w:sz w:val="20"/>
                <w:szCs w:val="20"/>
              </w:rPr>
              <w:t xml:space="preserve">부정한 방법 임차, 3개월 내 미입주, 3개월 이상 임대료 연체, 무단 개축·증축, 고의 파손, 자산·소득 기준 초과, 임대기간 중 주택취득(정식 청약자 한정), 중복입주, 기타 계약서상 의무위반</w:t>
            </w:r>
          </w:p>
        </w:tc>
      </w:tr>
      <w:tr>
        <w:trPr>
          <w:cantSplit/>
        </w:trPr>
        <w:tc>
          <w:tcPr>
            <w:tcW w:type="dxa" w:w="2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세제 혜택(홈페이지 확인)</w:t>
            </w:r>
          </w:p>
        </w:tc>
        <w:tc>
          <w:tcPr>
            <w:tcW w:type="dxa" w:w="67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공식 홈페이지: "10년 거주하는 동안 취득세, 재산세, 보유세 등이 없습니다" — 소유권 미이전 상태이므로 다주택자 규제 대상에서 제외되는 구조로 안내됨(개별 세무 상담 필요)</w:t>
            </w:r>
          </w:p>
        </w:tc>
      </w:tr>
      <w:tr>
        <w:trPr>
          <w:cantSplit/>
        </w:trPr>
        <w:tc>
          <w:tcPr>
            <w:tcW w:type="dxa" w:w="2400"/>
            <w:tcMar>
              <w:top w:type="dxa" w:w="90"/>
              <w:left w:type="dxa" w:w="120"/>
              <w:bottom w:type="dxa" w:w="90"/>
              <w:right w:type="dxa" w:w="120"/>
            </w:tcMar>
            <w:vAlign w:val="center"/>
          </w:tcPr>
          <w:p>
            <w:pPr>
              <w:jc w:val="left"/>
            </w:pPr>
            <w:r>
              <w:rPr>
                <w:b w:val="false"/>
                <w:bCs w:val="false"/>
                <w:color w:val="000000"/>
                <w:sz w:val="20"/>
                <w:szCs w:val="20"/>
              </w:rPr>
              <w:t xml:space="preserve">지체상금(참고)</w:t>
            </w:r>
          </w:p>
        </w:tc>
        <w:tc>
          <w:tcPr>
            <w:tcW w:type="dxa" w:w="6750"/>
            <w:tcMar>
              <w:top w:type="dxa" w:w="90"/>
              <w:left w:type="dxa" w:w="120"/>
              <w:bottom w:type="dxa" w:w="90"/>
              <w:right w:type="dxa" w:w="120"/>
            </w:tcMar>
            <w:vAlign w:val="center"/>
          </w:tcPr>
          <w:p>
            <w:pPr>
              <w:jc w:val="left"/>
            </w:pPr>
            <w:r>
              <w:rPr>
                <w:b w:val="false"/>
                <w:bCs w:val="false"/>
                <w:color w:val="000000"/>
                <w:sz w:val="20"/>
                <w:szCs w:val="20"/>
              </w:rPr>
              <w:t xml:space="preserve">본 공고문에서 별도의 지체상금·입주지연보상금 조항은 확인되지 않음 — 임차인 관심도가 낮은 항목으로 참고용으로만 기재</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pPr>
        <w:spacing w:after="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1241134be1aa21b2e194fe83d6117a03812847.png"/><Relationship Id="rId8" Type="http://schemas.openxmlformats.org/officeDocument/2006/relationships/image" Target="media/dcb786677885b398ab35a0492a14922a885d0566.jpg"/><Relationship Id="rId9" Type="http://schemas.openxmlformats.org/officeDocument/2006/relationships/image" Target="media/a94b6b411050eb283a4ed524be6b092c35089f9a.png"/><Relationship Id="rId10" Type="http://schemas.openxmlformats.org/officeDocument/2006/relationships/image" Target="media/71be33ccd8a0f3ef25b095ea384b5003e88623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2026-08-04T01:56:53.301Z</dcterms:created>
  <dcterms:modified xsi:type="dcterms:W3CDTF">2026-08-04T01:56:53.302Z</dcterms:modified>
</cp:coreProperties>
</file>

<file path=docProps/custom.xml><?xml version="1.0" encoding="utf-8"?>
<Properties xmlns="http://schemas.openxmlformats.org/officeDocument/2006/custom-properties" xmlns:vt="http://schemas.openxmlformats.org/officeDocument/2006/docPropsVTypes"/>
</file>