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  <w:r>
        <w:t xml:space="preserve"/>
      </w:r>
    </w:p>
    <w:p>
      <w:pPr>
        <w:pBdr>
          <w:bottom w:val="single" w:color="C89B3C" w:sz="32"/>
        </w:pBdr>
        <w:shd w:fill="1F3864" w:val="clear"/>
        <w:spacing w:after="0" w:before="0"/>
      </w:pPr>
      <w:r>
        <w:t xml:space="preserve">  </w:t>
      </w:r>
    </w:p>
    <w:p>
      <w:pPr>
        <w:spacing w:after="60" w:before="300"/>
      </w:pPr>
      <w:r>
        <w:rPr>
          <w:b/>
          <w:bCs/>
          <w:color w:val="1F3864"/>
          <w:sz w:val="46"/>
          <w:szCs w:val="46"/>
        </w:rPr>
        <w:t xml:space="preserve">e편한세상 부천 어반스퀘어</w:t>
      </w:r>
    </w:p>
    <w:p>
      <w:pPr>
        <w:spacing w:after="240"/>
      </w:pPr>
      <w:r>
        <w:rPr>
          <w:b/>
          <w:bCs/>
          <w:color w:val="1F3864"/>
          <w:sz w:val="32"/>
          <w:szCs w:val="32"/>
        </w:rPr>
        <w:t xml:space="preserve">입주자모집공고 검토보고서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0"/>
      </w:tblGrid>
      <w:tr>
        <w:trPr>
          <w:cantSplit/>
        </w:trPr>
        <w:tc>
          <w:tcPr>
            <w:tcW w:type="dxa" w:w="22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715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22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공급위치</w:t>
            </w:r>
          </w:p>
        </w:tc>
        <w:tc>
          <w:tcPr>
            <w:tcW w:type="dxa" w:w="71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부천시 원미구 소사동 48-21번지 일원 (소사3구역)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시행사</w:t>
            </w:r>
          </w:p>
        </w:tc>
        <w:tc>
          <w:tcPr>
            <w:tcW w:type="dxa" w:w="71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소사3구역 재개발정비사업조합</w:t>
            </w:r>
          </w:p>
        </w:tc>
      </w:tr>
      <w:tr>
        <w:trPr>
          <w:cantSplit/>
        </w:trPr>
        <w:tc>
          <w:tcPr>
            <w:tcW w:type="dxa" w:w="22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시공사</w:t>
            </w:r>
          </w:p>
        </w:tc>
        <w:tc>
          <w:tcPr>
            <w:tcW w:type="dxa" w:w="71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DL이앤씨㈜ · 롯데건설㈜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공급규모</w:t>
            </w:r>
          </w:p>
        </w:tc>
        <w:tc>
          <w:tcPr>
            <w:tcW w:type="dxa" w:w="71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지하 3층~지상 38층, 13개동, 총 1,649세대(일반분양 897세대)</w:t>
            </w:r>
          </w:p>
        </w:tc>
      </w:tr>
      <w:tr>
        <w:trPr>
          <w:cantSplit/>
        </w:trPr>
        <w:tc>
          <w:tcPr>
            <w:tcW w:type="dxa" w:w="22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입주예정</w:t>
            </w:r>
          </w:p>
        </w:tc>
        <w:tc>
          <w:tcPr>
            <w:tcW w:type="dxa" w:w="71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2029년 10월 (정확한 일자는 추후 통보)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작성</w:t>
            </w:r>
          </w:p>
        </w:tc>
        <w:tc>
          <w:tcPr>
            <w:tcW w:type="dxa" w:w="71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법무법인제이엘 · 검토기준일 2026.07.24</w:t>
            </w:r>
          </w:p>
        </w:tc>
      </w:tr>
    </w:tbl>
    <w:p>
      <w:pPr>
        <w:spacing w:after="0" w:before="260"/>
      </w:pPr>
      <w:r>
        <w:t xml:space="preserve"/>
      </w:r>
    </w:p>
    <w:p>
      <w:pPr>
        <w:pBdr>
          <w:top w:val="single" w:color="C89B3C" w:sz="6"/>
          <w:bottom w:val="single" w:color="C89B3C" w:sz="6"/>
          <w:left w:val="single" w:color="C89B3C" w:sz="6"/>
          <w:right w:val="single" w:color="C89B3C" w:sz="6"/>
        </w:pBdr>
        <w:shd w:fill="FFF4E5" w:val="clear"/>
        <w:spacing w:after="100" w:before="100"/>
        <w:ind w:left="100" w:right="100"/>
      </w:pPr>
      <w:r>
        <w:rPr>
          <w:sz w:val="19"/>
          <w:szCs w:val="19"/>
        </w:rPr>
        <w:t xml:space="preserve">본 보고서는 입주자모집공고문 원문 및 사업주체가 배포한 분양홍보물, 공개된 공공데이터(카카오맵, 학교알리미)를 직접 대조하여 작성되었습니다. 홍보물 상의 조감도·CG·이미지컷은 실제와 차이가 있을 수 있다는 사업주체의 고지사항이 있으므로, 세부 사항은 계약 전 반드시 사업주체에 재확인하시기 바랍니다.</w:t>
      </w:r>
    </w:p>
    <w:p>
      <w:pPr>
        <w:keepNext/>
        <w:spacing w:after="0" w:before="420"/>
      </w:pPr>
      <w:r>
        <w:t xml:space="preserve"/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tcBorders>
              <w:bottom w:val="single" w:color="C89B3C" w:sz="24"/>
            </w:tcBorders>
            <w:shd w:fill="1F386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b/>
                <w:bCs/>
                <w:color w:val="C89B3C"/>
                <w:sz w:val="24"/>
                <w:szCs w:val="24"/>
              </w:rPr>
              <w:t xml:space="preserve">1   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최우선 개선요구사항 요약</w:t>
            </w:r>
          </w:p>
        </w:tc>
      </w:tr>
    </w:tbl>
    <w:p>
      <w:pPr>
        <w:keepNext/>
        <w:spacing w:after="0" w:before="160"/>
      </w:pPr>
      <w:r>
        <w:t xml:space="preserve"/>
      </w:r>
    </w:p>
    <w:p>
      <w:pPr>
        <w:keepLines/>
        <w:spacing w:after="120" w:line="276" w:lineRule="auto"/>
      </w:pPr>
      <w:r>
        <w:t xml:space="preserve">입주자모집공고문 및 분양홍보물을 원문 대조 방식으로 전수 검토한 결과, 계약 전 입주예정자협의회 차원에서 사업주체에 사전 확인 및 개선을 요청할 실익이 있는 사항을 아래와 같이 선별하였습니다. 통상적인 시공관행 수준의 정형적 면책조항(서비스면적 오차, 마감재 미세 변경 등)은 실익이 낮아 제외하였습니다.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550"/>
      </w:tblGrid>
      <w:tr>
        <w:trPr>
          <w:cantSplit/>
        </w:trPr>
        <w:tc>
          <w:tcPr>
            <w:tcW w:type="dxa" w:w="24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14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평가</w:t>
            </w:r>
          </w:p>
        </w:tc>
        <w:tc>
          <w:tcPr>
            <w:tcW w:type="dxa" w:w="555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핵심 근거</w:t>
            </w:r>
          </w:p>
        </w:tc>
      </w:tr>
      <w:tr>
        <w:trPr>
          <w:cantSplit/>
        </w:trPr>
        <w:tc>
          <w:tcPr>
            <w:tcW w:type="dxa" w:w="24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단지 인접 환경(소음·조망)</w:t>
            </w:r>
          </w:p>
        </w:tc>
        <w:tc>
          <w:tcPr>
            <w:tcW w:type="dxa" w:w="14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● 주의</w:t>
            </w:r>
          </w:p>
        </w:tc>
        <w:tc>
          <w:tcPr>
            <w:tcW w:type="dxa" w:w="55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서측 소사성당, 남측 철로·옹벽 인접 — 101동, 105~107동 직접 영향권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부대비용 전가 조항</w:t>
            </w:r>
          </w:p>
        </w:tc>
        <w:tc>
          <w:tcPr>
            <w:tcW w:type="dxa" w:w="1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● 주의</w:t>
            </w:r>
          </w:p>
        </w:tc>
        <w:tc>
          <w:tcPr>
            <w:tcW w:type="dxa" w:w="55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커뮤니티·수경시설·경관조명·신재생에너지 등 유지관리비 전액 입주자 부담, 산정근거 미공개</w:t>
            </w:r>
          </w:p>
        </w:tc>
      </w:tr>
      <w:tr>
        <w:trPr>
          <w:cantSplit/>
        </w:trPr>
        <w:tc>
          <w:tcPr>
            <w:tcW w:type="dxa" w:w="24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근린생활·판매시설 동선</w:t>
            </w:r>
          </w:p>
        </w:tc>
        <w:tc>
          <w:tcPr>
            <w:tcW w:type="dxa" w:w="14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B45309"/>
                <w:sz w:val="20"/>
                <w:szCs w:val="20"/>
              </w:rPr>
              <w:t xml:space="preserve">● 보통</w:t>
            </w:r>
          </w:p>
        </w:tc>
        <w:tc>
          <w:tcPr>
            <w:tcW w:type="dxa" w:w="55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101동, 301·302동 인근 주차장이 공동주택 주차장과 미분리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통학환경</w:t>
            </w:r>
          </w:p>
        </w:tc>
        <w:tc>
          <w:tcPr>
            <w:tcW w:type="dxa" w:w="1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B45309"/>
                <w:sz w:val="20"/>
                <w:szCs w:val="20"/>
              </w:rPr>
              <w:t xml:space="preserve">● 보통</w:t>
            </w:r>
          </w:p>
        </w:tc>
        <w:tc>
          <w:tcPr>
            <w:tcW w:type="dxa" w:w="55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인근 중·고교가 사립 여학교로 특화 — 남학생 배정교는 별도 확인 필요</w:t>
            </w:r>
          </w:p>
        </w:tc>
      </w:tr>
      <w:tr>
        <w:trPr>
          <w:cantSplit/>
        </w:trPr>
        <w:tc>
          <w:tcPr>
            <w:tcW w:type="dxa" w:w="24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분양보증·시공 안정성</w:t>
            </w:r>
          </w:p>
        </w:tc>
        <w:tc>
          <w:tcPr>
            <w:tcW w:type="dxa" w:w="14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● 양호</w:t>
            </w:r>
          </w:p>
        </w:tc>
        <w:tc>
          <w:tcPr>
            <w:tcW w:type="dxa" w:w="55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HUG 정상 분양보증, DL이앤씨 신용등급 AA-(2025년 기준, 자체 공시)</w:t>
            </w:r>
          </w:p>
        </w:tc>
      </w:tr>
    </w:tbl>
    <w:p>
      <w:pPr>
        <w:keepNext/>
        <w:spacing w:after="0" w:before="420"/>
      </w:pPr>
      <w:r>
        <w:t xml:space="preserve"/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tcBorders>
              <w:bottom w:val="single" w:color="C89B3C" w:sz="24"/>
            </w:tcBorders>
            <w:shd w:fill="1F386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b/>
                <w:bCs/>
                <w:color w:val="C89B3C"/>
                <w:sz w:val="24"/>
                <w:szCs w:val="24"/>
              </w:rPr>
              <w:t xml:space="preserve">2   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계약 전 확인 및 개선요청 사항</w:t>
            </w:r>
          </w:p>
        </w:tc>
      </w:tr>
    </w:tbl>
    <w:p>
      <w:pPr>
        <w:keepNext/>
        <w:spacing w:after="0" w:before="160"/>
      </w:pPr>
      <w:r>
        <w:t xml:space="preserve"/>
      </w:r>
    </w:p>
    <w:p>
      <w:pPr>
        <w:keepLines/>
        <w:spacing w:after="120" w:line="276" w:lineRule="auto"/>
      </w:pPr>
      <w:r>
        <w:t xml:space="preserve">아래 조항들은 원문에 실제로 기재된 문구를 그대로 인용한 것이며, 약관 위반 여부를 단정하기보다 입주예정자협의회가 사업주체에 실질적으로 개선을 요청할 수 있는 지점을 중심으로 정리하였습니다.</w:t>
      </w:r>
    </w:p>
    <w:p>
      <w:pPr>
        <w:keepNext/>
        <w:keepLines/>
        <w:pBdr>
          <w:left w:val="single" w:color="C89B3C" w:sz="18" w:space="6"/>
        </w:pBdr>
        <w:spacing w:after="100" w:before="240" w:line="276" w:lineRule="auto"/>
        <w:ind w:left="80"/>
      </w:pPr>
      <w:r>
        <w:rPr>
          <w:b/>
          <w:bCs/>
          <w:color w:val="C00000"/>
          <w:sz w:val="22"/>
          <w:szCs w:val="22"/>
        </w:rPr>
        <w:t xml:space="preserve">1. [부대시설 유지관리비 전가]</w:t>
      </w:r>
    </w:p>
    <w:p>
      <w:pPr>
        <w:keepNext/>
        <w:keepLines/>
        <w:pBdr>
          <w:left w:val="single" w:color="999999" w:sz="16" w:space="8"/>
        </w:pBdr>
        <w:shd w:fill="F2F2F2" w:val="clear"/>
        <w:spacing w:after="100" w:before="100" w:line="276" w:lineRule="auto"/>
        <w:ind w:left="100"/>
      </w:pPr>
      <w:r>
        <w:rPr>
          <w:i/>
          <w:iCs/>
          <w:color w:val="595959"/>
          <w:sz w:val="20"/>
          <w:szCs w:val="20"/>
        </w:rPr>
        <w:t xml:space="preserve">"부대시설, 주민공동시설, 저수조, 배수조 등 입주 후 유지/보수/관리에 관한 일체의 비용은 입주자가 부담하여야 하며, 시설물에 대한 계획은 다소 변경될 수 있습니다."</w:t>
      </w:r>
    </w:p>
    <w:p>
      <w:pPr>
        <w:keepLines/>
        <w:pBdr>
          <w:left w:val="single" w:color="2E5395" w:sz="28"/>
        </w:pBdr>
        <w:shd w:fill="EDF1F8" w:val="clear"/>
        <w:spacing w:after="240" w:before="100" w:line="276" w:lineRule="auto"/>
        <w:ind w:left="140"/>
      </w:pPr>
      <w:r>
        <w:rPr>
          <w:b/>
          <w:bCs/>
          <w:color w:val="2E5395"/>
        </w:rPr>
        <w:t xml:space="preserve">법무법인제이엘 검토   </w:t>
      </w:r>
      <w:r>
        <w:t xml:space="preserve">개선요청: 부대시설별 예상 유지관리비 산정근거(항목·연간 예상금액)를 입주 전 입주예정자협의회에 사전 공개해 줄 것을 요청합니다.</w:t>
      </w:r>
    </w:p>
    <w:p>
      <w:pPr>
        <w:keepNext/>
        <w:keepLines/>
        <w:pBdr>
          <w:left w:val="single" w:color="C89B3C" w:sz="18" w:space="6"/>
        </w:pBdr>
        <w:spacing w:after="100" w:before="240" w:line="276" w:lineRule="auto"/>
        <w:ind w:left="80"/>
      </w:pPr>
      <w:r>
        <w:rPr>
          <w:b/>
          <w:bCs/>
          <w:color w:val="C00000"/>
          <w:sz w:val="22"/>
          <w:szCs w:val="22"/>
        </w:rPr>
        <w:t xml:space="preserve">2. [경관조명·수경시설 비용 전가]</w:t>
      </w:r>
    </w:p>
    <w:p>
      <w:pPr>
        <w:keepNext/>
        <w:keepLines/>
        <w:pBdr>
          <w:left w:val="single" w:color="999999" w:sz="16" w:space="8"/>
        </w:pBdr>
        <w:shd w:fill="F2F2F2" w:val="clear"/>
        <w:spacing w:after="100" w:before="100" w:line="276" w:lineRule="auto"/>
        <w:ind w:left="100"/>
      </w:pPr>
      <w:r>
        <w:rPr>
          <w:i/>
          <w:iCs/>
          <w:color w:val="595959"/>
          <w:sz w:val="20"/>
          <w:szCs w:val="20"/>
        </w:rPr>
        <w:t xml:space="preserve">"향후 경관조명이 설치 또는 변경될 수 있으며, 발생되는 유지/보수/관리에 관한 일체의 비용은 입주자가 부담하여야 하며, 일부 세대는 경관조명으로 인해 눈부심이 발생할 수도 있습니다."</w:t>
      </w:r>
    </w:p>
    <w:p>
      <w:pPr>
        <w:keepLines/>
        <w:pBdr>
          <w:left w:val="single" w:color="2E5395" w:sz="28"/>
        </w:pBdr>
        <w:shd w:fill="EDF1F8" w:val="clear"/>
        <w:spacing w:after="240" w:before="100" w:line="276" w:lineRule="auto"/>
        <w:ind w:left="140"/>
      </w:pPr>
      <w:r>
        <w:rPr>
          <w:b/>
          <w:bCs/>
          <w:color w:val="2E5395"/>
        </w:rPr>
        <w:t xml:space="preserve">법무법인제이엘 검토   </w:t>
      </w:r>
      <w:r>
        <w:t xml:space="preserve">개선요청: 경관조명 설계 시 저층부 세대의 눈부심 저감 방안(각도 조정, 차광판 등)을 반영하고, 수경시설 유지비 항목을 관리비 내역에 별도 표기해 줄 것을 요청합니다.</w:t>
      </w:r>
    </w:p>
    <w:p>
      <w:pPr>
        <w:keepNext/>
        <w:keepLines/>
        <w:pBdr>
          <w:left w:val="single" w:color="C89B3C" w:sz="18" w:space="6"/>
        </w:pBdr>
        <w:spacing w:after="100" w:before="240" w:line="276" w:lineRule="auto"/>
        <w:ind w:left="80"/>
      </w:pPr>
      <w:r>
        <w:rPr>
          <w:b/>
          <w:bCs/>
          <w:color w:val="C00000"/>
          <w:sz w:val="22"/>
          <w:szCs w:val="22"/>
        </w:rPr>
        <w:t xml:space="preserve">3. [신재생에너지 유지비 공용관리비 전가]</w:t>
      </w:r>
    </w:p>
    <w:p>
      <w:pPr>
        <w:keepNext/>
        <w:keepLines/>
        <w:pBdr>
          <w:left w:val="single" w:color="999999" w:sz="16" w:space="8"/>
        </w:pBdr>
        <w:shd w:fill="F2F2F2" w:val="clear"/>
        <w:spacing w:after="100" w:before="100" w:line="276" w:lineRule="auto"/>
        <w:ind w:left="100"/>
      </w:pPr>
      <w:r>
        <w:rPr>
          <w:i/>
          <w:iCs/>
          <w:color w:val="595959"/>
          <w:sz w:val="20"/>
          <w:szCs w:val="20"/>
        </w:rPr>
        <w:t xml:space="preserve">"신재생에너지 시스템의 운영 및 유지관리를 위한 비용은 공용관리비로 부과되며 이에 이의를 제기할 수 없습니다."</w:t>
      </w:r>
    </w:p>
    <w:p>
      <w:pPr>
        <w:keepLines/>
        <w:pBdr>
          <w:left w:val="single" w:color="2E5395" w:sz="28"/>
        </w:pBdr>
        <w:shd w:fill="EDF1F8" w:val="clear"/>
        <w:spacing w:after="240" w:before="100" w:line="276" w:lineRule="auto"/>
        <w:ind w:left="140"/>
      </w:pPr>
      <w:r>
        <w:rPr>
          <w:b/>
          <w:bCs/>
          <w:color w:val="2E5395"/>
        </w:rPr>
        <w:t xml:space="preserve">법무법인제이엘 검토   </w:t>
      </w:r>
      <w:r>
        <w:t xml:space="preserve">개선요청: 신재생에너지 설비의 종류·용량과 예상 연간 유지비를 입주 전 공개하고, 향후 관리비 고지 시 별도 항목으로 구분 표기해 줄 것을 요청합니다.</w:t>
      </w:r>
    </w:p>
    <w:p>
      <w:pPr>
        <w:keepNext/>
        <w:keepLines/>
        <w:pBdr>
          <w:left w:val="single" w:color="C89B3C" w:sz="18" w:space="6"/>
        </w:pBdr>
        <w:spacing w:after="100" w:before="240" w:line="276" w:lineRule="auto"/>
        <w:ind w:left="80"/>
      </w:pPr>
      <w:r>
        <w:rPr>
          <w:b/>
          <w:bCs/>
          <w:color w:val="C00000"/>
          <w:sz w:val="22"/>
          <w:szCs w:val="22"/>
        </w:rPr>
        <w:t xml:space="preserve">4. [근린생활·판매시설 주차장 미분리]</w:t>
      </w:r>
    </w:p>
    <w:p>
      <w:pPr>
        <w:keepNext/>
        <w:keepLines/>
        <w:pBdr>
          <w:left w:val="single" w:color="999999" w:sz="16" w:space="8"/>
        </w:pBdr>
        <w:shd w:fill="F2F2F2" w:val="clear"/>
        <w:spacing w:after="100" w:before="100" w:line="276" w:lineRule="auto"/>
        <w:ind w:left="100"/>
      </w:pPr>
      <w:r>
        <w:rPr>
          <w:i/>
          <w:iCs/>
          <w:color w:val="595959"/>
          <w:sz w:val="20"/>
          <w:szCs w:val="20"/>
        </w:rPr>
        <w:t xml:space="preserve">"본 공동주택은 1단지(3-1BL)에 근린생활시설과 2단지(3-2,3-3BL)에 판매시설이 계획되어 있으며 근린생활시설과 판매시설은 특성상 위치, 크기, 동선 등의 설계변경이 있을 수 있으며 입주자는 이에 이의를 제기할 수 없습니다."</w:t>
      </w:r>
    </w:p>
    <w:p>
      <w:pPr>
        <w:keepLines/>
        <w:pBdr>
          <w:left w:val="single" w:color="2E5395" w:sz="28"/>
        </w:pBdr>
        <w:shd w:fill="EDF1F8" w:val="clear"/>
        <w:spacing w:after="240" w:before="100" w:line="276" w:lineRule="auto"/>
        <w:ind w:left="140"/>
      </w:pPr>
      <w:r>
        <w:rPr>
          <w:b/>
          <w:bCs/>
          <w:color w:val="2E5395"/>
        </w:rPr>
        <w:t xml:space="preserve">법무법인제이엘 검토   </w:t>
      </w:r>
      <w:r>
        <w:t xml:space="preserve">개선요청: 근린생활시설(101동 인근, 10대)·판매시설(301·302동 인근, 31대) 전용 주차장과 공동주택 주차장 간 동선·차단기 운영계획을 입주 전 공개하여 생활권 침해 우려를 해소해 줄 것을 요청합니다.</w:t>
      </w:r>
    </w:p>
    <w:p>
      <w:pPr>
        <w:keepNext/>
        <w:keepLines/>
        <w:pBdr>
          <w:left w:val="single" w:color="C89B3C" w:sz="18" w:space="6"/>
        </w:pBdr>
        <w:spacing w:after="100" w:before="240" w:line="276" w:lineRule="auto"/>
        <w:ind w:left="80"/>
      </w:pPr>
      <w:r>
        <w:rPr>
          <w:b/>
          <w:bCs/>
          <w:color w:val="C00000"/>
          <w:sz w:val="22"/>
          <w:szCs w:val="22"/>
        </w:rPr>
        <w:t xml:space="preserve">5. [전기차 충전구역 이용 형평성]</w:t>
      </w:r>
    </w:p>
    <w:p>
      <w:pPr>
        <w:keepNext/>
        <w:keepLines/>
        <w:pBdr>
          <w:left w:val="single" w:color="999999" w:sz="16" w:space="8"/>
        </w:pBdr>
        <w:shd w:fill="F2F2F2" w:val="clear"/>
        <w:spacing w:after="100" w:before="100" w:line="276" w:lineRule="auto"/>
        <w:ind w:left="100"/>
      </w:pPr>
      <w:r>
        <w:rPr>
          <w:i/>
          <w:iCs/>
          <w:color w:val="595959"/>
          <w:sz w:val="20"/>
          <w:szCs w:val="20"/>
        </w:rPr>
        <w:t xml:space="preserve">"단지 지하주차장에는 전기 자동차 충전시설이 설치되며(지하1층, 지하2층), 각 주동 공용홀로부터 접근 및 이용(전기 자동차외 주차금지 등)의 형평성이 맞지 않더라도 이에 대한 이의를 제기할 수 없습니다."</w:t>
      </w:r>
    </w:p>
    <w:p>
      <w:pPr>
        <w:keepLines/>
        <w:pBdr>
          <w:left w:val="single" w:color="2E5395" w:sz="28"/>
        </w:pBdr>
        <w:shd w:fill="EDF1F8" w:val="clear"/>
        <w:spacing w:after="240" w:before="100" w:line="276" w:lineRule="auto"/>
        <w:ind w:left="140"/>
      </w:pPr>
      <w:r>
        <w:rPr>
          <w:b/>
          <w:bCs/>
          <w:color w:val="2E5395"/>
        </w:rPr>
        <w:t xml:space="preserve">법무법인제이엘 검토   </w:t>
      </w:r>
      <w:r>
        <w:t xml:space="preserve">개선요청: 전기차 미보유 세대의 접근성이 과도하게 불리하지 않도록 충전구역 배치 시 동별 형평성을 고려해 줄 것을 요청합니다.</w:t>
      </w:r>
    </w:p>
    <w:p>
      <w:pPr>
        <w:keepNext/>
        <w:keepLines/>
        <w:pBdr>
          <w:left w:val="single" w:color="C89B3C" w:sz="18" w:space="6"/>
        </w:pBdr>
        <w:spacing w:after="100" w:before="240" w:line="276" w:lineRule="auto"/>
        <w:ind w:left="80"/>
      </w:pPr>
      <w:r>
        <w:rPr>
          <w:b/>
          <w:bCs/>
          <w:color w:val="C00000"/>
          <w:sz w:val="22"/>
          <w:szCs w:val="22"/>
        </w:rPr>
        <w:t xml:space="preserve">6. [세대창고 운영기준 미정]</w:t>
      </w:r>
    </w:p>
    <w:p>
      <w:pPr>
        <w:keepNext/>
        <w:keepLines/>
        <w:pBdr>
          <w:left w:val="single" w:color="999999" w:sz="16" w:space="8"/>
        </w:pBdr>
        <w:shd w:fill="F2F2F2" w:val="clear"/>
        <w:spacing w:after="100" w:before="100" w:line="276" w:lineRule="auto"/>
        <w:ind w:left="100"/>
      </w:pPr>
      <w:r>
        <w:rPr>
          <w:i/>
          <w:iCs/>
          <w:color w:val="595959"/>
          <w:sz w:val="20"/>
          <w:szCs w:val="20"/>
        </w:rPr>
        <w:t xml:space="preserve">"지하층에 설치된 세대창고는 각 세대별 사용공간이 분리되어 있지 않으며, 운영방식은 입주 후 입주자 대표회의를 통해 결정되며, 이와 관련하여 이의를 제기할 수 없습니다."</w:t>
      </w:r>
    </w:p>
    <w:p>
      <w:pPr>
        <w:keepLines/>
        <w:pBdr>
          <w:left w:val="single" w:color="2E5395" w:sz="28"/>
        </w:pBdr>
        <w:shd w:fill="EDF1F8" w:val="clear"/>
        <w:spacing w:after="240" w:before="100" w:line="276" w:lineRule="auto"/>
        <w:ind w:left="140"/>
      </w:pPr>
      <w:r>
        <w:rPr>
          <w:b/>
          <w:bCs/>
          <w:color w:val="2E5395"/>
        </w:rPr>
        <w:t xml:space="preserve">법무법인제이엘 검토   </w:t>
      </w:r>
      <w:r>
        <w:t xml:space="preserve">개선요청: 세대창고 배정·이용 기준(안)을 입주 전 미리 마련하여 입주자대표회의 구성 초기 혼선을 줄여줄 것을 요청합니다.</w:t>
      </w:r>
    </w:p>
    <w:p>
      <w:pPr>
        <w:keepNext/>
        <w:keepLines/>
        <w:pBdr>
          <w:left w:val="single" w:color="C89B3C" w:sz="18" w:space="6"/>
        </w:pBdr>
        <w:spacing w:after="100" w:before="240" w:line="276" w:lineRule="auto"/>
        <w:ind w:left="80"/>
      </w:pPr>
      <w:r>
        <w:rPr>
          <w:b/>
          <w:bCs/>
          <w:color w:val="C00000"/>
          <w:sz w:val="22"/>
          <w:szCs w:val="22"/>
        </w:rPr>
        <w:t xml:space="preserve">7. [도시가스 계량기 교체비용 전가]</w:t>
      </w:r>
    </w:p>
    <w:p>
      <w:pPr>
        <w:keepNext/>
        <w:keepLines/>
        <w:pBdr>
          <w:left w:val="single" w:color="999999" w:sz="16" w:space="8"/>
        </w:pBdr>
        <w:shd w:fill="F2F2F2" w:val="clear"/>
        <w:spacing w:after="100" w:before="100" w:line="276" w:lineRule="auto"/>
        <w:ind w:left="100"/>
      </w:pPr>
      <w:r>
        <w:rPr>
          <w:i/>
          <w:iCs/>
          <w:color w:val="595959"/>
          <w:sz w:val="20"/>
          <w:szCs w:val="20"/>
        </w:rPr>
        <w:t xml:space="preserve">"당 현장은 도시가스 원격검침계량기(원격검침 설치 시, 검침데이터를 도시가스사에 제공합니다)가 설치되는 아파트로 교체 비용은 가스 사용자가 부담하여야 합니다."</w:t>
      </w:r>
    </w:p>
    <w:p>
      <w:pPr>
        <w:keepLines/>
        <w:pBdr>
          <w:left w:val="single" w:color="2E5395" w:sz="28"/>
        </w:pBdr>
        <w:shd w:fill="EDF1F8" w:val="clear"/>
        <w:spacing w:after="240" w:before="100" w:line="276" w:lineRule="auto"/>
        <w:ind w:left="140"/>
      </w:pPr>
      <w:r>
        <w:rPr>
          <w:b/>
          <w:bCs/>
          <w:color w:val="2E5395"/>
        </w:rPr>
        <w:t xml:space="preserve">법무법인제이엘 검토   </w:t>
      </w:r>
      <w:r>
        <w:t xml:space="preserve">개선요청: 원격검침계량기의 내구연한 및 향후 교체 예상비용 규모를 사전에 안내해 줄 것을 요청합니다.</w:t>
      </w:r>
    </w:p>
    <w:p>
      <w:pPr>
        <w:keepLines/>
        <w:spacing w:after="120" w:line="276" w:lineRule="auto"/>
      </w:pPr>
      <w:r>
        <w:t xml:space="preserve">참고사항: 입주지정일은 천재지변·전염병·정부정책 변경 등 불가항력 사유 발생 시 지체상금 지급 대상에서 제외될 수 있습니다 (2029년 10월 예정, 정확한 일자는 추후 통보). 입주예정자 관심도가 낮은 항목으로 참고용으로만 기재합니다.</w:t>
      </w:r>
    </w:p>
    <w:p>
      <w:pPr>
        <w:keepNext/>
        <w:spacing w:after="0" w:before="420"/>
      </w:pPr>
      <w:r>
        <w:t xml:space="preserve"/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tcBorders>
              <w:bottom w:val="single" w:color="C89B3C" w:sz="24"/>
            </w:tcBorders>
            <w:shd w:fill="1F386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b/>
                <w:bCs/>
                <w:color w:val="C89B3C"/>
                <w:sz w:val="24"/>
                <w:szCs w:val="24"/>
              </w:rPr>
              <w:t xml:space="preserve">3   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동별·위치별 유의사항</w:t>
            </w:r>
          </w:p>
        </w:tc>
      </w:tr>
    </w:tbl>
    <w:p>
      <w:pPr>
        <w:keepNext/>
        <w:spacing w:after="0" w:before="160"/>
      </w:pPr>
      <w:r>
        <w:t xml:space="preserve"/>
      </w:r>
    </w:p>
    <w:p>
      <w:pPr>
        <w:keepLines/>
        <w:spacing w:after="120" w:line="276" w:lineRule="auto"/>
      </w:pPr>
      <w:r>
        <w:t xml:space="preserve">공고문은 특정 동의 조망·일조·소음 영향을 개별적으로 명시하고 있습니다. 아래 단지배치도를 기준으로 각 동의 위치별 유의사항을 정리하였습니다.</w:t>
      </w:r>
    </w:p>
    <w:p>
      <w:pPr>
        <w:jc w:val="center"/>
      </w:pPr>
      <w:r>
        <w:drawing>
          <wp:inline distT="0" distB="0" distL="0" distR="0">
            <wp:extent cx="5600700" cy="3943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00" w:before="60" w:line="276" w:lineRule="auto"/>
      </w:pPr>
      <w:r>
        <w:rPr>
          <w:b/>
          <w:bCs/>
          <w:color w:val="595959"/>
          <w:sz w:val="18"/>
          <w:szCs w:val="18"/>
        </w:rPr>
        <w:t xml:space="preserve">[그림 1] 단지배치도 (3-1BL: 101~107동 / 3-2·3-3BL: 201~204·301·302동)</w:t>
      </w:r>
      <w:r>
        <w:rPr>
          <w:i/>
          <w:iCs/>
          <w:color w:val="999999"/>
          <w:sz w:val="18"/>
          <w:szCs w:val="18"/>
        </w:rPr>
        <w:t xml:space="preserve">   자료: 사업주체 공식 홈페이지 게시 단지배치도</w:t>
      </w:r>
    </w:p>
    <w:p>
      <w:pPr>
        <w:keepNext/>
        <w:keepLines/>
        <w:pBdr>
          <w:left w:val="single" w:color="C89B3C" w:sz="18" w:space="6"/>
        </w:pBdr>
        <w:spacing w:after="100" w:before="240" w:line="276" w:lineRule="auto"/>
        <w:ind w:left="80"/>
      </w:pPr>
      <w:r>
        <w:rPr>
          <w:b/>
          <w:bCs/>
          <w:color w:val="1F3864"/>
          <w:sz w:val="22"/>
          <w:szCs w:val="22"/>
        </w:rPr>
        <w:t xml:space="preserve">① 101동 — 서측 소사성당 인접</w:t>
      </w:r>
    </w:p>
    <w:p>
      <w:pPr>
        <w:keepNext/>
        <w:keepLines/>
        <w:pBdr>
          <w:left w:val="single" w:color="999999" w:sz="16" w:space="8"/>
        </w:pBdr>
        <w:shd w:fill="F2F2F2" w:val="clear"/>
        <w:spacing w:after="100" w:before="100" w:line="276" w:lineRule="auto"/>
        <w:ind w:left="100"/>
      </w:pPr>
      <w:r>
        <w:rPr>
          <w:i/>
          <w:iCs/>
          <w:color w:val="595959"/>
          <w:sz w:val="20"/>
          <w:szCs w:val="20"/>
        </w:rPr>
        <w:t xml:space="preserve">"단지 서측 종교시설(소사성당) 위치, 단지 남측 철로 및 옹벽 위치로 조망권, 일조권, 소음, 진동 등 피해가 발생할 수 있으니, 사전에 단지 주변현황을 확인하신 후 청약 및 계약을 체결하여야 하며, 이와 관련하여 사업주체 및 시공사의 귀책사유가 없고, 이에 대한 이의를 제기할 수 없습니다."</w:t>
      </w:r>
    </w:p>
    <w:p>
      <w:pPr>
        <w:keepLines/>
        <w:pBdr>
          <w:left w:val="single" w:color="2E5395" w:sz="28"/>
        </w:pBdr>
        <w:shd w:fill="EDF1F8" w:val="clear"/>
        <w:spacing w:after="240" w:before="100" w:line="276" w:lineRule="auto"/>
        <w:ind w:left="140"/>
      </w:pPr>
      <w:r>
        <w:rPr>
          <w:b/>
          <w:bCs/>
          <w:color w:val="2E5395"/>
        </w:rPr>
        <w:t xml:space="preserve">법무법인제이엘 검토   </w:t>
      </w:r>
      <w:r>
        <w:t xml:space="preserve">개선요청: 101동 서측 세대에 대해 방음창호 사양 상향 또는 차음성능이 강화된 조경 식재 배치를 검토해 줄 것을 요청합니다.</w:t>
      </w:r>
    </w:p>
    <w:p>
      <w:pPr>
        <w:keepNext/>
        <w:keepLines/>
        <w:pBdr>
          <w:left w:val="single" w:color="C89B3C" w:sz="18" w:space="6"/>
        </w:pBdr>
        <w:spacing w:after="100" w:before="240" w:line="276" w:lineRule="auto"/>
        <w:ind w:left="80"/>
      </w:pPr>
      <w:r>
        <w:rPr>
          <w:b/>
          <w:bCs/>
          <w:color w:val="1F3864"/>
          <w:sz w:val="22"/>
          <w:szCs w:val="22"/>
        </w:rPr>
        <w:t xml:space="preserve">② 105·106·107동 — 남측 철로·옹벽 인접</w:t>
      </w:r>
    </w:p>
    <w:p>
      <w:pPr>
        <w:keepNext/>
        <w:keepLines/>
        <w:pBdr>
          <w:left w:val="single" w:color="999999" w:sz="16" w:space="8"/>
        </w:pBdr>
        <w:shd w:fill="F2F2F2" w:val="clear"/>
        <w:spacing w:after="100" w:before="100" w:line="276" w:lineRule="auto"/>
        <w:ind w:left="100"/>
      </w:pPr>
      <w:r>
        <w:rPr>
          <w:i/>
          <w:iCs/>
          <w:color w:val="595959"/>
          <w:sz w:val="20"/>
          <w:szCs w:val="20"/>
        </w:rPr>
        <w:t xml:space="preserve">"단지 주변도로의 방음벽 미설치로 인하여 소음이 발생할 수 있으므로 계약 시 반드시 확인하시고 추후 이의를 제기할 수 없습니다."</w:t>
      </w:r>
    </w:p>
    <w:p>
      <w:pPr>
        <w:keepLines/>
        <w:pBdr>
          <w:left w:val="single" w:color="2E5395" w:sz="28"/>
        </w:pBdr>
        <w:shd w:fill="EDF1F8" w:val="clear"/>
        <w:spacing w:after="240" w:before="100" w:line="276" w:lineRule="auto"/>
        <w:ind w:left="140"/>
      </w:pPr>
      <w:r>
        <w:rPr>
          <w:b/>
          <w:bCs/>
          <w:color w:val="2E5395"/>
        </w:rPr>
        <w:t xml:space="preserve">법무법인제이엘 검토   </w:t>
      </w:r>
      <w:r>
        <w:t xml:space="preserve">개선요청: 남측 철로에 인접한 105~107동 저층부에 대해 방음벽 설치 계획 여부를 사전에 공개하고, 없을 경우 세대 창호 차음 성능을 상향해 줄 것을 요청합니다.</w:t>
      </w:r>
    </w:p>
    <w:p>
      <w:pPr>
        <w:keepNext/>
        <w:keepLines/>
        <w:pBdr>
          <w:left w:val="single" w:color="C89B3C" w:sz="18" w:space="6"/>
        </w:pBdr>
        <w:spacing w:after="100" w:before="240" w:line="276" w:lineRule="auto"/>
        <w:ind w:left="80"/>
      </w:pPr>
      <w:r>
        <w:rPr>
          <w:b/>
          <w:bCs/>
          <w:color w:val="1F3864"/>
          <w:sz w:val="22"/>
          <w:szCs w:val="22"/>
        </w:rPr>
        <w:t xml:space="preserve">③ 단지 경계부 레벨차 및 배수</w:t>
      </w:r>
    </w:p>
    <w:p>
      <w:pPr>
        <w:keepNext/>
        <w:keepLines/>
        <w:pBdr>
          <w:left w:val="single" w:color="999999" w:sz="16" w:space="8"/>
        </w:pBdr>
        <w:shd w:fill="F2F2F2" w:val="clear"/>
        <w:spacing w:after="100" w:before="100" w:line="276" w:lineRule="auto"/>
        <w:ind w:left="100"/>
      </w:pPr>
      <w:r>
        <w:rPr>
          <w:i/>
          <w:iCs/>
          <w:color w:val="595959"/>
          <w:sz w:val="20"/>
          <w:szCs w:val="20"/>
        </w:rPr>
        <w:t xml:space="preserve">"단지 인접 경계부와 외부공간 간에 레벨 차이가 있어 단차가 발생될 수 있으며, 단차 부위는 사면처리 또는 옹벽, 조경석, 산석 등이 설치될 예정이며, 이는 현장여건에 따라 변경되어 시공될 수 있으며, 추후 이의를 제기할 수 없습니다."</w:t>
      </w:r>
    </w:p>
    <w:p>
      <w:pPr>
        <w:keepLines/>
        <w:pBdr>
          <w:left w:val="single" w:color="2E5395" w:sz="28"/>
        </w:pBdr>
        <w:shd w:fill="EDF1F8" w:val="clear"/>
        <w:spacing w:after="240" w:before="100" w:line="276" w:lineRule="auto"/>
        <w:ind w:left="140"/>
      </w:pPr>
      <w:r>
        <w:rPr>
          <w:b/>
          <w:bCs/>
          <w:color w:val="2E5395"/>
        </w:rPr>
        <w:t xml:space="preserve">법무법인제이엘 검토   </w:t>
      </w:r>
      <w:r>
        <w:t xml:space="preserve">개선요청: 경계부 단차 처리 방식(사면·옹벽 등) 확정안을 입주 전 공개하고, 우천 시 배수 동선을 사전 점검해 줄 것을 요청합니다.</w:t>
      </w:r>
    </w:p>
    <w:p>
      <w:pPr>
        <w:keepNext/>
        <w:spacing w:after="0" w:before="420"/>
      </w:pPr>
      <w:r>
        <w:t xml:space="preserve"/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tcBorders>
              <w:bottom w:val="single" w:color="C89B3C" w:sz="24"/>
            </w:tcBorders>
            <w:shd w:fill="1F386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b/>
                <w:bCs/>
                <w:color w:val="C89B3C"/>
                <w:sz w:val="24"/>
                <w:szCs w:val="24"/>
              </w:rPr>
              <w:t xml:space="preserve">4   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입지 분석</w:t>
            </w:r>
          </w:p>
        </w:tc>
      </w:tr>
    </w:tbl>
    <w:p>
      <w:pPr>
        <w:keepNext/>
        <w:spacing w:after="0" w:before="160"/>
      </w:pPr>
      <w:r>
        <w:t xml:space="preserve"/>
      </w:r>
    </w:p>
    <w:p>
      <w:pPr>
        <w:keepLines/>
        <w:spacing w:after="120" w:line="276" w:lineRule="auto"/>
      </w:pPr>
      <w:r>
        <w:t xml:space="preserve">카카오맵 로컬 API 실측 조회 및 학교알리미 Open API 좌표 데이터를 교차검증하여 입지를 6개 항목으로 평가하였습니다.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750"/>
      </w:tblGrid>
      <w:tr>
        <w:trPr>
          <w:cantSplit/>
        </w:trPr>
        <w:tc>
          <w:tcPr>
            <w:tcW w:type="dxa" w:w="22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평가항목</w:t>
            </w:r>
          </w:p>
        </w:tc>
        <w:tc>
          <w:tcPr>
            <w:tcW w:type="dxa" w:w="14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등급</w:t>
            </w:r>
          </w:p>
        </w:tc>
        <w:tc>
          <w:tcPr>
            <w:tcW w:type="dxa" w:w="575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근거</w:t>
            </w:r>
          </w:p>
        </w:tc>
      </w:tr>
      <w:tr>
        <w:trPr>
          <w:cantSplit/>
        </w:trPr>
        <w:tc>
          <w:tcPr>
            <w:tcW w:type="dxa" w:w="22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교통</w:t>
            </w:r>
          </w:p>
        </w:tc>
        <w:tc>
          <w:tcPr>
            <w:tcW w:type="dxa" w:w="14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● 양호</w:t>
            </w:r>
          </w:p>
        </w:tc>
        <w:tc>
          <w:tcPr>
            <w:tcW w:type="dxa" w:w="57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소사역(서해선·1호선) 도보 약 205m 더블 역세권, 부천역 약 872m, GTX-B 노선 개통 예정(2031년, 국토부 발표 기준)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생활편의</w:t>
            </w:r>
          </w:p>
        </w:tc>
        <w:tc>
          <w:tcPr>
            <w:tcW w:type="dxa" w:w="1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● 양호</w:t>
            </w:r>
          </w:p>
        </w:tc>
        <w:tc>
          <w:tcPr>
            <w:tcW w:type="dxa" w:w="57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편의점 8개소, 약국 8개소, 병원·의원 8개소 반경 1km 이내(카카오맵 기준). 대형마트(이마트 부천점)는 약 890m</w:t>
            </w:r>
          </w:p>
        </w:tc>
      </w:tr>
      <w:tr>
        <w:trPr>
          <w:cantSplit/>
        </w:trPr>
        <w:tc>
          <w:tcPr>
            <w:tcW w:type="dxa" w:w="22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교육환경(초등)</w:t>
            </w:r>
          </w:p>
        </w:tc>
        <w:tc>
          <w:tcPr>
            <w:tcW w:type="dxa" w:w="14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B45309"/>
                <w:sz w:val="20"/>
                <w:szCs w:val="20"/>
              </w:rPr>
              <w:t xml:space="preserve">● 보통</w:t>
            </w:r>
          </w:p>
        </w:tc>
        <w:tc>
          <w:tcPr>
            <w:tcW w:type="dxa" w:w="57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원미초등학교 약 780m(공립·남녀공학) — 통학거리 다소 원거리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교육환경(중·고)</w:t>
            </w:r>
          </w:p>
        </w:tc>
        <w:tc>
          <w:tcPr>
            <w:tcW w:type="dxa" w:w="1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● 주의</w:t>
            </w:r>
          </w:p>
        </w:tc>
        <w:tc>
          <w:tcPr>
            <w:tcW w:type="dxa" w:w="57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소명여자중학교 약 471m, 소명여자고등학교 약 482m — 도보권이나 사립 여학교로 남학생은 타 학교 배정 필요, 브로슈어에는 미고지</w:t>
            </w:r>
          </w:p>
        </w:tc>
      </w:tr>
      <w:tr>
        <w:trPr>
          <w:cantSplit/>
        </w:trPr>
        <w:tc>
          <w:tcPr>
            <w:tcW w:type="dxa" w:w="22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자연환경·조망</w:t>
            </w:r>
          </w:p>
        </w:tc>
        <w:tc>
          <w:tcPr>
            <w:tcW w:type="dxa" w:w="14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B45309"/>
                <w:sz w:val="20"/>
                <w:szCs w:val="20"/>
              </w:rPr>
              <w:t xml:space="preserve">● 보통</w:t>
            </w:r>
          </w:p>
        </w:tc>
        <w:tc>
          <w:tcPr>
            <w:tcW w:type="dxa" w:w="57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서측 소사성당, 남측 철로·옹벽 인접 동 존재 — 위치에 따라 조망·일조·소음 영향 상이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유의시설</w:t>
            </w:r>
          </w:p>
        </w:tc>
        <w:tc>
          <w:tcPr>
            <w:tcW w:type="dxa" w:w="1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● 주의</w:t>
            </w:r>
          </w:p>
        </w:tc>
        <w:tc>
          <w:tcPr>
            <w:tcW w:type="dxa" w:w="57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반경 1km 이내 장례식장 3개소(부천세종병원 약 334m, 부천성모병원 약 408m, 제사식장예향원 약 957m)</w:t>
            </w:r>
          </w:p>
        </w:tc>
      </w:tr>
    </w:tbl>
    <w:p>
      <w:pPr>
        <w:jc w:val="center"/>
      </w:pPr>
      <w:r>
        <w:drawing>
          <wp:inline distT="0" distB="0" distL="0" distR="0">
            <wp:extent cx="4457700" cy="4095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00" w:before="60" w:line="276" w:lineRule="auto"/>
      </w:pPr>
      <w:r>
        <w:rPr>
          <w:b/>
          <w:bCs/>
          <w:color w:val="595959"/>
          <w:sz w:val="18"/>
          <w:szCs w:val="18"/>
        </w:rPr>
        <w:t xml:space="preserve">[그림 2] 단지 주변 시설 위치관계도 (실제 지도)</w:t>
      </w:r>
      <w:r>
        <w:rPr>
          <w:i/>
          <w:iCs/>
          <w:color w:val="999999"/>
          <w:sz w:val="18"/>
          <w:szCs w:val="18"/>
        </w:rPr>
        <w:t xml:space="preserve">   자료: 배경지도 © OpenStreetMap 기여자, 시설 위치·거리 카카오 로컬 API 실측</w:t>
      </w:r>
    </w:p>
    <w:p>
      <w:pPr>
        <w:jc w:val="center"/>
      </w:pPr>
      <w:r>
        <w:drawing>
          <wp:inline distT="0" distB="0" distL="0" distR="0">
            <wp:extent cx="4476750" cy="2238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00" w:before="60" w:line="276" w:lineRule="auto"/>
      </w:pPr>
      <w:r>
        <w:rPr>
          <w:b/>
          <w:bCs/>
          <w:color w:val="595959"/>
          <w:sz w:val="18"/>
          <w:szCs w:val="18"/>
        </w:rPr>
        <w:t xml:space="preserve">[그림 3] 통학 예정 학교 거리 및 남녀공학 여부</w:t>
      </w:r>
      <w:r>
        <w:rPr>
          <w:i/>
          <w:iCs/>
          <w:color w:val="999999"/>
          <w:sz w:val="18"/>
          <w:szCs w:val="18"/>
        </w:rPr>
        <w:t xml:space="preserve">   자료: 학교알리미 Open API 좌표 haversine 계산, 카카오맵 도보거리 교차검증</w:t>
      </w:r>
    </w:p>
    <w:p>
      <w:pPr>
        <w:jc w:val="center"/>
      </w:pPr>
      <w:r>
        <w:drawing>
          <wp:inline distT="0" distB="0" distL="0" distR="0">
            <wp:extent cx="4476750" cy="2238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00" w:before="60" w:line="276" w:lineRule="auto"/>
      </w:pPr>
      <w:r>
        <w:rPr>
          <w:b/>
          <w:bCs/>
          <w:color w:val="595959"/>
          <w:sz w:val="18"/>
          <w:szCs w:val="18"/>
        </w:rPr>
        <w:t xml:space="preserve">[그림 4] 생활 인프라 분포(반경 1km)</w:t>
      </w:r>
      <w:r>
        <w:rPr>
          <w:i/>
          <w:iCs/>
          <w:color w:val="999999"/>
          <w:sz w:val="18"/>
          <w:szCs w:val="18"/>
        </w:rPr>
        <w:t xml:space="preserve">   자료: 카카오맵 로컬 API 조회 결과</w:t>
      </w:r>
    </w:p>
    <w:p>
      <w:pPr>
        <w:keepLines/>
        <w:pBdr>
          <w:left w:val="single" w:color="2E5395" w:sz="28"/>
        </w:pBdr>
        <w:shd w:fill="EDF1F8" w:val="clear"/>
        <w:spacing w:after="240" w:before="100" w:line="276" w:lineRule="auto"/>
        <w:ind w:left="140"/>
      </w:pPr>
      <w:r>
        <w:rPr>
          <w:b/>
          <w:bCs/>
          <w:color w:val="2E5395"/>
        </w:rPr>
        <w:t xml:space="preserve">법무법인제이엘 검토   </w:t>
      </w:r>
      <w:r>
        <w:t xml:space="preserve">개선요청: 소명여중·고가 여학교임을 분양 안내 자료에 명시하지 않고 있어, 자녀의 성별에 따라 통학환경이 달라질 수 있음을 계약 전 고지해 줄 것을 요청합니다.</w:t>
      </w:r>
    </w:p>
    <w:p>
      <w:pPr>
        <w:keepNext/>
        <w:spacing w:after="0" w:before="420"/>
      </w:pPr>
      <w:r>
        <w:t xml:space="preserve"/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tcBorders>
              <w:bottom w:val="single" w:color="C89B3C" w:sz="24"/>
            </w:tcBorders>
            <w:shd w:fill="1F386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b/>
                <w:bCs/>
                <w:color w:val="C89B3C"/>
                <w:sz w:val="24"/>
                <w:szCs w:val="24"/>
              </w:rPr>
              <w:t xml:space="preserve">5   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마감사양 및 시공사 정보</w:t>
            </w:r>
          </w:p>
        </w:tc>
      </w:tr>
    </w:tbl>
    <w:p>
      <w:pPr>
        <w:keepNext/>
        <w:spacing w:after="0" w:before="160"/>
      </w:pPr>
      <w:r>
        <w:t xml:space="preserve"/>
      </w:r>
    </w:p>
    <w:p>
      <w:pPr>
        <w:keepLines/>
        <w:spacing w:after="120" w:line="276" w:lineRule="auto"/>
      </w:pPr>
      <w:r>
        <w:t xml:space="preserve">사업주체가 배포한 마감재 사양표(59㎡A/74㎡A/84㎡A, 확장형 기준) 원문을 실별로 정리하였습니다.</w:t>
      </w:r>
    </w:p>
    <w:tbl>
      <w:tblPr>
        <w:tblW w:type="dxa" w:w="92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400"/>
        <w:gridCol w:w="2500"/>
        <w:gridCol w:w="2650"/>
      </w:tblGrid>
      <w:tr>
        <w:trPr>
          <w:cantSplit/>
        </w:trPr>
        <w:tc>
          <w:tcPr>
            <w:tcW w:type="dxa" w:w="17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공간</w:t>
            </w:r>
          </w:p>
        </w:tc>
        <w:tc>
          <w:tcPr>
            <w:tcW w:type="dxa" w:w="24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부위</w:t>
            </w:r>
          </w:p>
        </w:tc>
        <w:tc>
          <w:tcPr>
            <w:tcW w:type="dxa" w:w="25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마감사양(기본품목)</w:t>
            </w:r>
          </w:p>
        </w:tc>
        <w:tc>
          <w:tcPr>
            <w:tcW w:type="dxa" w:w="265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제조사</w:t>
            </w:r>
          </w:p>
        </w:tc>
      </w:tr>
      <w:tr>
        <w:trPr>
          <w:cantSplit/>
        </w:trPr>
        <w:tc>
          <w:tcPr>
            <w:tcW w:type="dxa" w:w="17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현관</w:t>
            </w:r>
          </w:p>
        </w:tc>
        <w:tc>
          <w:tcPr>
            <w:tcW w:type="dxa" w:w="24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바닥 / 디딤판</w:t>
            </w:r>
          </w:p>
        </w:tc>
        <w:tc>
          <w:tcPr>
            <w:tcW w:type="dxa" w:w="25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포세린타일(600x600) / 엔지니어드 스톤</w:t>
            </w:r>
          </w:p>
        </w:tc>
        <w:tc>
          <w:tcPr>
            <w:tcW w:type="dxa" w:w="26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현장발주 / 롯데케미칼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거실·주방·복도</w:t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바닥 / 창호</w:t>
            </w:r>
          </w:p>
        </w:tc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광폭 강마루(W:143) / PVC 이중창</w:t>
            </w:r>
          </w:p>
        </w:tc>
        <w:tc>
          <w:tcPr>
            <w:tcW w:type="dxa" w:w="26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이건마루 / LX하우시스</w:t>
            </w:r>
          </w:p>
        </w:tc>
      </w:tr>
      <w:tr>
        <w:trPr>
          <w:cantSplit/>
        </w:trPr>
        <w:tc>
          <w:tcPr>
            <w:tcW w:type="dxa" w:w="17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주방·식당</w:t>
            </w:r>
          </w:p>
        </w:tc>
        <w:tc>
          <w:tcPr>
            <w:tcW w:type="dxa" w:w="24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상판 / 가구도어</w:t>
            </w:r>
          </w:p>
        </w:tc>
        <w:tc>
          <w:tcPr>
            <w:tcW w:type="dxa" w:w="25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MMA 인조대리석(T:24) / 지정 PET</w:t>
            </w:r>
          </w:p>
        </w:tc>
        <w:tc>
          <w:tcPr>
            <w:tcW w:type="dxa" w:w="26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롯데케미칼 / 리바트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욕실1·2</w:t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위생기구 일체(양변기·세면기·수전)</w:t>
            </w:r>
          </w:p>
        </w:tc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투피스형 양변기 등</w:t>
            </w:r>
          </w:p>
        </w:tc>
        <w:tc>
          <w:tcPr>
            <w:tcW w:type="dxa" w:w="26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대림바스</w:t>
            </w:r>
          </w:p>
        </w:tc>
      </w:tr>
      <w:tr>
        <w:trPr>
          <w:cantSplit/>
        </w:trPr>
        <w:tc>
          <w:tcPr>
            <w:tcW w:type="dxa" w:w="17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발코니</w:t>
            </w:r>
          </w:p>
        </w:tc>
        <w:tc>
          <w:tcPr>
            <w:tcW w:type="dxa" w:w="24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바닥 / 확장형 창호</w:t>
            </w:r>
          </w:p>
        </w:tc>
        <w:tc>
          <w:tcPr>
            <w:tcW w:type="dxa" w:w="25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자기질타일(300x300) / PVC 이중창</w:t>
            </w:r>
          </w:p>
        </w:tc>
        <w:tc>
          <w:tcPr>
            <w:tcW w:type="dxa" w:w="26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현장발주 / LX하우시스</w:t>
            </w:r>
          </w:p>
        </w:tc>
      </w:tr>
    </w:tbl>
    <w:p>
      <w:pPr>
        <w:keepLines/>
        <w:pBdr>
          <w:left w:val="single" w:color="2E5395" w:sz="28"/>
        </w:pBdr>
        <w:shd w:fill="EDF1F8" w:val="clear"/>
        <w:spacing w:after="240" w:before="100" w:line="276" w:lineRule="auto"/>
        <w:ind w:left="140"/>
      </w:pPr>
      <w:r>
        <w:rPr>
          <w:b/>
          <w:bCs/>
          <w:color w:val="2E5395"/>
        </w:rPr>
        <w:t xml:space="preserve">법무법인제이엘 검토   </w:t>
      </w:r>
      <w:r>
        <w:t xml:space="preserve">개선요청: 추가선택품목(미니멀·블랑클래식·내추럴클래식 등)의 정산 산식이 공고문에 요약형으로만 기재되어 있어, 계약 전 세대별 실제 정산 예시(기본품목 감액분 포함)를 제공해 줄 것을 요청합니다.</w:t>
      </w:r>
    </w:p>
    <w:p>
      <w:pPr>
        <w:keepNext/>
        <w:keepLines/>
        <w:pBdr>
          <w:left w:val="single" w:color="C89B3C" w:sz="18" w:space="6"/>
        </w:pBdr>
        <w:spacing w:after="100" w:before="240" w:line="276" w:lineRule="auto"/>
        <w:ind w:left="80"/>
      </w:pPr>
      <w:r>
        <w:rPr>
          <w:b/>
          <w:bCs/>
          <w:color w:val="1F3864"/>
          <w:sz w:val="22"/>
          <w:szCs w:val="22"/>
        </w:rPr>
        <w:t xml:space="preserve">시공사 정보</w:t>
      </w:r>
    </w:p>
    <w:p>
      <w:pPr>
        <w:keepLines/>
        <w:spacing w:after="120" w:line="276" w:lineRule="auto"/>
      </w:pPr>
      <w:r>
        <w:t xml:space="preserve">시공사는 DL이앤씨㈜(1단지 포함 전체 시공)와 롯데건설㈜ 컨소시엄입니다. 분양홍보물은 "25년 신용등급 AA-, 4년 연속 하자판정 0건, TOP 10 시공사 중 품질관리 1위"를 자체 인용출처(국토부 하자심사분쟁조정위원회, 2025년 시공능력평가)와 함께 공시하고 있습니다. 해당 수치는 사업주체 발행 홍보자료에 근거한 것으로, 계약 전 원출처 공시자료를 통해 재확인하실 것을 권장합니다.</w:t>
      </w:r>
    </w:p>
    <w:p>
      <w:pPr>
        <w:keepNext/>
        <w:spacing w:after="0" w:before="420"/>
      </w:pPr>
      <w:r>
        <w:t xml:space="preserve"/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tcBorders>
              <w:bottom w:val="single" w:color="C89B3C" w:sz="24"/>
            </w:tcBorders>
            <w:shd w:fill="1F386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b/>
                <w:bCs/>
                <w:color w:val="C89B3C"/>
                <w:sz w:val="24"/>
                <w:szCs w:val="24"/>
              </w:rPr>
              <w:t xml:space="preserve">6   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기타 확인사항</w:t>
            </w:r>
          </w:p>
        </w:tc>
      </w:tr>
    </w:tbl>
    <w:p>
      <w:pPr>
        <w:keepNext/>
        <w:spacing w:after="0" w:before="160"/>
      </w:pPr>
      <w:r>
        <w:t xml:space="preserve"/>
      </w:r>
    </w:p>
    <w:tbl>
      <w:tblPr>
        <w:tblW w:type="dxa" w:w="91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750"/>
      </w:tblGrid>
      <w:tr>
        <w:trPr>
          <w:cantSplit/>
        </w:trPr>
        <w:tc>
          <w:tcPr>
            <w:tcW w:type="dxa" w:w="24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75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24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분양보증</w:t>
            </w:r>
          </w:p>
        </w:tc>
        <w:tc>
          <w:tcPr>
            <w:tcW w:type="dxa" w:w="67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주택도시보증공사(HUG) 분양보증 — 사업주체 부도·파산 시 보증사고 처리 및 사업주체 변경 동의 조항 있음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내진성능</w:t>
            </w:r>
          </w:p>
        </w:tc>
        <w:tc>
          <w:tcPr>
            <w:tcW w:type="dxa" w:w="67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내진중요도 Ⅰ등급, 내진능력 Ⅶ-0.204g(수정 메르칼리 진동등급 기준)</w:t>
            </w:r>
          </w:p>
        </w:tc>
      </w:tr>
      <w:tr>
        <w:trPr>
          <w:cantSplit/>
        </w:trPr>
        <w:tc>
          <w:tcPr>
            <w:tcW w:type="dxa" w:w="24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주차대수</w:t>
            </w:r>
          </w:p>
        </w:tc>
        <w:tc>
          <w:tcPr>
            <w:tcW w:type="dxa" w:w="67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총 2,196대(공동주택 2,155대, 근린생활시설 10대, 판매시설 31대)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공기질 관리</w:t>
            </w:r>
          </w:p>
        </w:tc>
        <w:tc>
          <w:tcPr>
            <w:tcW w:type="dxa" w:w="67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웨더스테이션, 통합 공기질 센서, 환기연동 렌지후드 등 스마트 클린&amp;케어 솔루션 적용(홍보물 기재)</w:t>
            </w:r>
          </w:p>
        </w:tc>
      </w:tr>
      <w:tr>
        <w:trPr>
          <w:cantSplit/>
        </w:trPr>
        <w:tc>
          <w:tcPr>
            <w:tcW w:type="dxa" w:w="24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부대복리시설 이미지</w:t>
            </w:r>
          </w:p>
        </w:tc>
        <w:tc>
          <w:tcPr>
            <w:tcW w:type="dxa" w:w="67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홍보물에 "부대시설 내부 이미지 중 일부는 타 단지의 동일시설 이미지컷을 활용"한다는 고지 있음 — 실제 시공 사양과 다를 수 있음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지체상금(참고)</w:t>
            </w:r>
          </w:p>
        </w:tc>
        <w:tc>
          <w:tcPr>
            <w:tcW w:type="dxa" w:w="67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천재지변·전염병 등 불가항력 사유 발생 시 지체상금 미적용 — 입주예정자 관심도가 낮아 참고용으로만 기재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1"/>
        <w:szCs w:val="21"/>
      </w:rPr>
    </w:rPrDefault>
    <w:pPrDefault>
      <w:pPr>
        <w:spacing w:after="0" w:line="276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941cf0401c27970c6f42f1140722e5947423ee9.jpg"/><Relationship Id="rId8" Type="http://schemas.openxmlformats.org/officeDocument/2006/relationships/image" Target="media/88d1a789e4ae9d579900a962c8d742a4eedf4b59.png"/><Relationship Id="rId9" Type="http://schemas.openxmlformats.org/officeDocument/2006/relationships/image" Target="media/c4820c21f40d8827b012633800d58b65c6761631.png"/><Relationship Id="rId10" Type="http://schemas.openxmlformats.org/officeDocument/2006/relationships/image" Target="media/8fe75617bca9cdca370d733d45a6f5bd2271a35e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2026-07-24T01:46:29.651Z</dcterms:created>
  <dcterms:modified xsi:type="dcterms:W3CDTF">2026-07-24T01:46:29.652Z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