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pBdr>
          <w:bottom w:val="single" w:color="C89B3C" w:sz="32"/>
        </w:pBdr>
        <w:shd w:fill="1F3864" w:val="clear"/>
        <w:spacing w:after="0" w:before="0"/>
      </w:pPr>
      <w:r>
        <w:t xml:space="preserve">  </w:t>
      </w:r>
    </w:p>
    <w:p>
      <w:pPr>
        <w:spacing w:after="60" w:before="300"/>
      </w:pPr>
      <w:r>
        <w:rPr>
          <w:b/>
          <w:bCs/>
          <w:color w:val="1F3864"/>
          <w:sz w:val="46"/>
          <w:szCs w:val="46"/>
        </w:rPr>
        <w:t xml:space="preserve">엘리프 한신더휴 수원 (C3BL·D3BL)</w:t>
      </w:r>
    </w:p>
    <w:p>
      <w:pPr>
        <w:spacing w:after="240"/>
      </w:pPr>
      <w:r>
        <w:rPr>
          <w:b/>
          <w:bCs/>
          <w:color w:val="1F3864"/>
          <w:sz w:val="36"/>
          <w:szCs w:val="36"/>
        </w:rPr>
        <w:t xml:space="preserve">입주예정자협의회 개선요구사항 최종분석 v7</w:t>
      </w:r>
    </w:p>
    <w:p>
      <w:pPr>
        <w:spacing w:after="300"/>
      </w:pPr>
      <w:r>
        <w:rPr>
          <w:color w:val="595959"/>
          <w:sz w:val="24"/>
          <w:szCs w:val="24"/>
        </w:rPr>
        <w:t xml:space="preserve">원문 전면 재검증판 — 9개 마커 기반 전수 재스캔 완료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대상 단지</w:t>
            </w:r>
          </w:p>
        </w:tc>
        <w:tc>
          <w:tcPr>
            <w:tcW w:type="dxa" w:w="7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C3BL(452세대, 10동) / D3BL(697세대, 12동), 공고일 2025.10.31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소재지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경기도 수원시 권선구 당수1지구 공공주택지구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검증 방법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recruit_c3bl.pdf / recruit_d3bl.pdf 원문 직접 추출, "이의를 제기할 수 없" 등 9개 마커로 전수 재스캔(약 260건 원문 대조)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법무법인제이엘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배포 대상</w:t>
            </w:r>
          </w:p>
        </w:tc>
        <w:tc>
          <w:tcPr>
            <w:tcW w:type="dxa" w:w="7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엘리프 한신더휴 수원 입주예정자협의회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작성일</w:t>
            </w:r>
          </w:p>
        </w:tc>
        <w:tc>
          <w:tcPr>
            <w:tcW w:type="dxa" w:w="7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2026.07.22 (v7, 최종 확정판 — 단지명 오탈자 정정)</w:t>
            </w:r>
          </w:p>
        </w:tc>
      </w:tr>
    </w:tbl>
    <w:p>
      <w:pPr>
        <w:spacing w:after="0" w:before="260"/>
      </w:pPr>
      <w:r>
        <w:t xml:space="preserve"/>
      </w:r>
    </w:p>
    <w:p>
      <w:pPr>
        <w:pBdr>
          <w:top w:val="single" w:color="C89B3C" w:sz="6"/>
          <w:bottom w:val="single" w:color="C89B3C" w:sz="6"/>
          <w:left w:val="single" w:color="C89B3C" w:sz="6"/>
          <w:right w:val="single" w:color="C89B3C" w:sz="6"/>
        </w:pBdr>
        <w:shd w:fill="FFF4E5" w:val="clear"/>
        <w:spacing w:after="100" w:before="100"/>
        <w:ind w:left="100" w:right="100"/>
      </w:pPr>
      <w:r>
        <w:rPr>
          <w:sz w:val="19"/>
          <w:szCs w:val="19"/>
        </w:rPr>
        <w:t xml:space="preserve">본 보고서는 v3(2026.07.20)·v4(2026.07.22) 이후 원문을 "이의를 제기할 수 없"·"책임지지 않"·"책임이 없"·"요구할 수 없"·"청구할 수 없"·"손해배상"·"해제할 수 있"·"관리비에 포함"·"부담하여야" 등 9개 마커로 재스캔해 완성한 최종판입니다.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0부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이전 버전 대비 변경 요약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pStyle w:val="ListParagraph"/>
        <w:keepLines/>
        <w:numPr>
          <w:ilvl w:val="0"/>
          <w:numId w:val="1"/>
        </w:numPr>
        <w:spacing w:after="80" w:line="276" w:lineRule="auto"/>
      </w:pPr>
      <w:r>
        <w:t xml:space="preserve">단지명 오탈자 정정: "엘리프한신휴 수원" → "엘리프 한신더휴 수원"(공식 명칭, 원문 12회 확인). 표지·배포대상 등 제목 표기 오류였으며, 본문 인용문(원문 그대로 발췌)은 애초에 정확했음.</w:t>
      </w:r>
    </w:p>
    <w:p>
      <w:pPr>
        <w:pStyle w:val="ListParagraph"/>
        <w:keepLines/>
        <w:numPr>
          <w:ilvl w:val="0"/>
          <w:numId w:val="1"/>
        </w:numPr>
        <w:spacing w:after="80" w:line="276" w:lineRule="auto"/>
      </w:pPr>
      <w:r>
        <w:t xml:space="preserve">v3의 "층간소음★★", "그린2등급" 오류 정정(v4에서 이미 반영, 본 보고서에도 유지)</w:t>
      </w:r>
    </w:p>
    <w:p>
      <w:pPr>
        <w:pStyle w:val="ListParagraph"/>
        <w:keepLines/>
        <w:numPr>
          <w:ilvl w:val="0"/>
          <w:numId w:val="1"/>
        </w:numPr>
        <w:spacing w:after="80" w:line="276" w:lineRule="auto"/>
      </w:pPr>
      <w:r>
        <w:t xml:space="preserve">신규 추가 12건: 재무적 리스크 위주(부도시 대납이자 부담, 공용시설 유지보수비용 전가, 대지지분 소유권이전 지연시 손해배상 청구불가 등)</w:t>
      </w:r>
    </w:p>
    <w:p>
      <w:pPr>
        <w:pStyle w:val="ListParagraph"/>
        <w:keepLines/>
        <w:numPr>
          <w:ilvl w:val="0"/>
          <w:numId w:val="1"/>
        </w:numPr>
        <w:spacing w:after="80" w:line="276" w:lineRule="auto"/>
      </w:pPr>
      <w:r>
        <w:t xml:space="preserve">기존 항목 3건 세부 보강: 지체상금 면책사유(문화재·멸종위기종·화물연대/건설노조파업·원자재수급지연 명시), 결로 면책(발코니확장 외 전체결로로 확대), 협의회 요구금지(타사·타지역 아파트 비교금지 포함)</w:t>
      </w:r>
    </w:p>
    <w:p>
      <w:pPr>
        <w:pStyle w:val="ListParagraph"/>
        <w:keepLines/>
        <w:numPr>
          <w:ilvl w:val="0"/>
          <w:numId w:val="1"/>
        </w:numPr>
        <w:spacing w:after="80" w:line="276" w:lineRule="auto"/>
      </w:pPr>
      <w:r>
        <w:t xml:space="preserve">페이지 분리·줄간격 자동정리(keepNext/keepLines/cantSplit 적용) — 단락이 페이지 경계에서 끊기지 않도록 조정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총 확인 독소조항 26건(공통22 + C3단독1 + D3단독2 + 기타1), 최우선 개선요구 6건, 동별유의사항 47건(변경없음). 아래 1부는 재무·계약 리스크가 큰 항목부터 순서대로 배치했습니다.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1부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최우선 개선요구사항 (6건)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1-1. 사업주체·시공사 부도 시 대납 중도금이자 계약자 부담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 및 시공사의 부도, 파산 등으로 보증사고가 발생할 경우 사업주체가 대납하던 중도금 대출이자는 계약자가 부담하여야 하는 경우가 발생할 수 있습니다."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분양 시 홍보되는 '중도금 무이자' 혜택이 사업주체 부도라는 조건 발생 시 계약자 비용으로 전환되는 조항입니다. HUG 분양보증이 원금은 보장하나 이자 부담까지 보장하지 않는 구조이므로, 입주예정자협의회 차원에서 시행사·시공사의 재무건전성을 주기적으로 확인할 필요가 있습니다.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1-2. 지하주차장 지하1층 슬래브 방수층 미설계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"당 단지 지하주차장 외벽 및 최하층 바닥 일부를 제외한 전 구간에 배수판이 설치되어 있으나 중간층(지하 1층) 슬래브에는 방수층 설계가 되어 있지 않고, 이에 관하여 사업주체에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C3BL·D3BL 공고문에 동일하게 명시되어 있습니다. 준공 전 방수 상세도 공개 및 방수층 추가 시공 여부를 시급히 확인·요청해야 합니다.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1-3. 층간소음 사후확인제도 — 기준 미달도 하자보수 대상 아님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"공동주택성능등급 인증서의 경량/중량충격음 차단성능 성능등급은 표준실험동 등에서 관련기준 절차에 따른 등급으로 실제 세대의 바닥충격음 성능검사 기준 및 절차(사후확인제도)에 따라 확인한 성능등급과 다를 수 있으나 이는 하자보수 대상이 되지 않습니다."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사전 인증등급과 준공 후 실측등급이 달라도, 심지어 실측이 기준 미달이어도 하자보수 책임을 지지 않는다는 조항입니다. 준공 시 세대별 실측 성적서 공개 및 기준 미달 시 하자책임 인정을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1-4. 공용시설·부대시설 유지보수비용 전액 입주자 부담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"주민공동시설, 공용조명, 단지 홍보용 사인물 등은 현장 여건에 의해 변경될 수 있으며, 단지에 포함된 시설물로 인하여 발생되는 유지/보수/관리에 관한 일체의 비용은 입주자가 부담하여야 합니다."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"각 주동 옥탑 및 측벽에는 조형물, 피뢰설비 등이 설치될 수 있어 일부 세대의 조망 및 눈부심 등에 영향을 미칠 수 있으며, 운영, 유지, 보수 등에 대한 일체의 비용은 입주자가 부담하여야 합니다."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분양 시 제공되는 것으로 홍보되는 조형물·홍보사인물 등 부대시설의 유지보수비용이 관리비를 통해 입주자에게 전가되는 구조입니다. 관리규약 제정 시 불필요/과도한 장식성 시설물의 축소·철거 논의를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1-5. 공공기여시설 지역주민 개방 — 입주민 전용 아님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"[C3BL] 공공기여 시설(그로잉에듀센터, 런베이스, 주민카페, 취미공방, 나눔장터, 스카이 라운지, 생태온실 등)은 지역주민에게 개방하여 함께 이용하며, 추후 계약자의 미확인 등에 따른 이의를 제기할 수 없습니다."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"[D3BL] 공공기여 시설(다함께돌봄센터, 스마트라운지, 위드라운지, 실내체육관, 장난감은행, 영어도서관, 스카이라운지)은 지역주민에게 개방하여 함께 이용하며, 추후 계약자의 미확인 등에 따른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스카이라운지를 포함한 주요시설이 양단지 모두 지역주민 개방 대상입니다. 관리규약 제정 시 입주민 우선이용시간대 확보를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B45309"/>
          <w:sz w:val="22"/>
          <w:szCs w:val="22"/>
        </w:rPr>
        <w:t xml:space="preserve">1-6. 인근 어린이집·초등학교 설립예정 — 특정 동 영향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"[C3BL] 101동, 102동, 106동 인근에 어린이집이 설립될 예정으로 소음 및 사생활 제한, 기타 피해 등으로 인한 이의 제기를 할 수 없습니다."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"[D3BL] 202동, 204동, 207동, 208동, 209동, 212동 인근에 어린이집(유아놀이터 포함)이 설립될 예정이며, 207동, 208동, 209동, 210동, 211동 인근 초등학교가 설립될 예정으로 소음 및 사생활 제한, 기타 피해 등으로 인한 이의 제기를 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D3BL은 12개동 중 절반 가까이가 어린이집·초등학교 인근 소음영향권입니다. 해당 동 입주예정자는 착공·개교 시점을 사전 확인 요청하십시오.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2부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독소조항 종합 (26건)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2-1. 시공·불가항력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 공사 중 천재지변, 문화재 발견, 멸종위기종 서식지 발견, 전염병 발생, 정부의 정책이나 관계법령의 변경, 각종 파업(화물연대, 건설노조 등), 원자재 수급 지연(국제 정세 등으로 인한 지연 등) 등 예기치 못한 사유가 발생한 경우 예정된 공사일정 및 입주시기 등이 지연될 수 있으며, 이 경우 사업주체 및 시공사는 그에 대한 책임이 없음을 유념하시기 바라며 그로 인한 지체상금 등의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불가항력 사유 범위가 매우 넓습니다(화물연대·건설노조 파업, 원자재 수급지연까지 포함). 사업주체·시공사 통제범위 내 사유는 면책범위에서 제외하도록 개선협의 요청하십시오.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1. [재무부담]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"잔금 납부 시 사업주체가 대납한 중도금 대출이자를 포함하여 납부해야 하며, 분양권 전매·상속·증여로 계약자가 변경될 시 중간정산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중간정산 절차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2. [재무부담]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"소유권 보존등기 접수일과 잔금납부일 중 늦은 날로부터 60일 이내 계약자 비용으로 소유권 이전등기 필요, 미이행 시 발생 피해·공과금 전액 계약자 부담"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등기지연 사유가 사업주체 귀책인 경우 예외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3. [재무부담]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"대지 지분 소유권이전이 지적공부정리 등으로 지연되는 경우, 이에 관한 손해배상 등을 청구할 수 없음"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지연기간 장기화 시 손해배상 청구권 유보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4. [하자책임]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"단열공사 외 환기불량, 사용상 부주의 등으로 발생하는 결로에 대해 사업주체 책임 없음(발코니 확장부위 한정이 아닌 세대 전체 결로 적용)"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결로 원인(설계·시공 vs 생활습관) 객관적 검증절차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5. [계약해제]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"대출비율 축소·대출불가 시 분양상담(전화상담 포함) 내용을 근거로 시공사에 대출 책임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서면 확약 사항에 한해 책임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6. [계약해제]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"미입주 상태에서 잔금 납부 후 발생하는 관리태만 문제(동파·결로·분실·도난·파손)는 사업주체에 청구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관리 위탁 옵션 제공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7. [계약해제]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"부적격당첨·공급질서 교란행위·위장전입 등으로 분양계약이 해제·취소되어도 납부한 인지세 환불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해당사항 없음(부정행위 제재 목적, 개선요구 대상 아님 — 참고용)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8. [계약해제]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"계약 이행 착수일(공사업체·자재선정 등 포함) 이후 계약자 사유로 해제 시, 위약금을 초과하는 손실에 대해 사업주체가 수분양자에게 손해배상 청구 가능"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손해액 산정기준 사전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9. [설계변경]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"협의회·개인의 설계변경 요구뿐 아니라, 타 지역·타사 분양아파트와 비교한 마감사양·부대시설·조경 개선요구도 금지, 요구 시 비용 전가"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합리적 비교 근거가 있는 개선요구는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10. [대지권]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단지 대지는 주거·비주거시설이 공동 사용하며, 공동주택 세대별 대지지분에 대한 대지분할·지분변경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대지지분 산정근거 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11. [대지권]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"세대당 대지지분 계산과정에서 남는 오차면적이 일부세대에 산입될 예정이며 이의제기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오차면적 산입기준 및 대상세대 사전공개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12. [공용시설]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"주민공동시설·공용조명·단지 홍보용 사인물 등 유지보수비용 전액 입주자 부담(1-4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1-4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13. [공용시설]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"옥탑·측벽 조형물, 피뢰설비 등 운영·유지·보수 비용 전액 입주자 부담(1-4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1-4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14. [기타]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"아파트 사용승인 전 입주예정자가 임의로 견본주택 인테리어 업체와 계약해 인테리어 공사 시 무단점유로 간주, 고발조치·행정제재 및 민형사상 손해배상책임 발생 가능"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사전 협의된 업체·기간에 한해 예외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15. [품질기준]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"층간소음 사전 인증등급과 준공 후 사후확인제도 실측등급이 다를 수 있으나 하자보수 대상 아님(1-3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1-3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16. [구조]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"지하주차장 지하1층 슬래브 방수층 미설계, 이의제기 불허(1-2 참조)"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1-2 참조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17. [마감재]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"견본주택 마감재를 자재 품절·사업자의 시공여건 등 사유로 동급 이상 타사 제품 임의 대체 가능"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대체 시 사전 고지 및 입주민 이의제기권 신설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18. [마감재]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"추가선택품목(유상옵션)은 품절·시공여건에 따라 임의 변경되며 교체·해약 요구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옵션 사양 변경 시 차액 환급 또는 해약권 인정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19. [설계변경]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"주택법 제15조 제4항 단서로 경미한 설계변경은 동의 간주, 하자 주장 불가"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통보 절차 신설 및 하자 주장권 유보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20. [조경]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"옥외 식재·벽면녹화·옥상녹화를 입주자 동의 없이 변경, 이의제기 불허"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친환경 인증 관련 변경은 사전 고지 의무화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21. [공용시설]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"외관디자인·외부시설물을 '디자인 개선' 명목으로 임의 변경, 이의제기·민원 원천 차단"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변경범위 사전 고지 및 민원창구 개설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22. [계약해제]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"사업주체가 대출은행을 선정하지 못할 경우 계약자 본인 책임하에 분양대금 납부, 이의제기 불허"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대출은행 미선정 리스크는 사업주체가 우선 부담하도록 개선협의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23. [계약해제]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"중도금 대출기간 중 계약자 신용불량 등으로 대출 중단 시 유예기간 없이 현금납부 요구, 미납 시 계약해제 및 이의제기 불허"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최소 유예기간 부여 개선협의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C00000"/>
          <w:sz w:val="22"/>
          <w:szCs w:val="22"/>
        </w:rPr>
        <w:t xml:space="preserve">24. [하자책임] 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"거실 아트월·복도·침실 벽체마감 등으로 인허가 도면보다 안목치수(실사용면적)가 줄어들 수 있으며, 계약자는 일체의 이의제기 불허"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개선협의요청: 안목치수 축소 상한선 명시 및 초과 축소 시 보상 요청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C3BL·D3BL 마감재·공법 차이 및 분양시점별 조건차이 고지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"'엘리프 한신더휴 수원 D3블럭'과 '엘리프 한신더휴 수원'이라는 명칭을 동일하게 사용하나, 사업계획승인 및 입주자모집 승인 등이 별도로 진행된 개별사업장으로서, D3블럭과 단위세대 마감재, 공용부 마감재, 기타 자재, 공법 등 일부 사항에서 차이가 있을 수 있으며, 추후 상이한 부분에 대해 이의를 제기할 수 없습니다."</w:t>
      </w:r>
    </w:p>
    <w:p>
      <w:pPr>
        <w:keepNext/>
        <w:keepLines/>
        <w:pBdr>
          <w:left w:val="single" w:color="999999" w:sz="16" w:space="8"/>
        </w:pBdr>
        <w:shd w:fill="F2F2F2" w:val="clear"/>
        <w:spacing w:after="100" w:before="100" w:line="276" w:lineRule="auto"/>
        <w:ind w:left="100"/>
      </w:pPr>
      <w:r>
        <w:rPr>
          <w:i/>
          <w:iCs/>
          <w:color w:val="595959"/>
          <w:sz w:val="20"/>
          <w:szCs w:val="20"/>
        </w:rPr>
        <w:t xml:space="preserve">"본 아파트의 판매시점에 따라 향후 분양조건(계약 조건 등)의 차이가 있을 수 있으며, 이로 인한 이의를 제기할 수 없습니다."</w:t>
      </w:r>
    </w:p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두 블록이 사실상 자매단지처럼 홍보되지만 법적으로는 완전 별개 사업장이며 마감재·공법 차이를 인정하고 있습니다. 또한 C3·D3 모두 사전청약자(C3 12세대, D3 57세대)와 본청약자 간 분양조건 차이가 있을 수 있음을 명시하고 있어, 입에협 구성 시 사전청약자·본청약자·C3·D3 4개 그룹 간 형평성 문제가 제기될 수 있음을 유념해야 합니다.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3부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동별 유의사항 — 47건 (v3·v4와 동일, 재검증 완료)</w:t>
            </w:r>
          </w:p>
        </w:tc>
      </w:tr>
    </w:tbl>
    <w:p>
      <w:pPr>
        <w:keepNext/>
        <w:spacing w:after="0" w:before="160"/>
      </w:pPr>
      <w:r>
        <w:t xml:space="preserve"/>
      </w:r>
    </w:p>
    <w:p>
      <w:pPr>
        <w:keepLines/>
        <w:spacing w:after="120" w:line="276" w:lineRule="auto"/>
      </w:pPr>
      <w:r>
        <w:t xml:space="preserve">아래 매트릭스는 원문(recruit_c3bl.pdf, recruit_d3bl.pdf)을 직접 추출하여 각 동 블록을 전수 대조 검증한 결과이며, v3·v4 대비 변경사항 없습니다.</w:t>
      </w:r>
    </w:p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C3BL 동별유의사항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rPr>
          <w:cantSplit/>
        </w:trP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</w:t>
            </w:r>
          </w:p>
        </w:tc>
        <w:tc>
          <w:tcPr>
            <w:tcW w:type="dxa" w:w="8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유의사항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101동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 부대시설(피트니스·골프연습장) 인접 소음, 필로티 통과동선, 서측 폐기물보관소·맘스스테이션, 남측 출입구·경비실·지하주차장·통학차량정차, 북측 어린이집·놀이터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102동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 부대시설(경로당·그로잉에듀센터·도서관) 인접 소음, 서측 놀이터, 남측 어린이집, 북동측 폐기물보관소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103동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지하1층 부대시설(나눔장터·주민카페 등) 인접, 필로티, 서측 실외기, 북측 당수천변 보행로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104동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런베이스 인접, 84B타입 서측 DA, 84B1/B2 돌출발코니 불규칙, 북측 당수천변, 남측 놀이터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105동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1층 자전거보관소, 84D1/D2 돌출발코니 불규칙, 동측 놀이터, 남측 폐기물보관소·운동시설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84B/84P 엘리베이터 승강로 인접, 84P 테라스 형태 변경가능, 동측 어린이집·놀이터, 옥탑 공청안테나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107동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1층 자전거보관소, 동측 정원(센트럴필드), 남측 놀이터, 북측 폐기물보관소·운동시설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108동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84B/84P 엘리베이터 승강로 인접, 서측 놀이터, 북측 정원(센트럴필드)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109동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동측 폐기물보관소·DA, 북측 DA·놀이터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110동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스카이커뮤니티(14층) 승강기·비상문(3·6·9·12층), 74A/84B 필로티, 북측 근린생활시설</w:t>
            </w:r>
          </w:p>
        </w:tc>
      </w:tr>
    </w:tbl>
    <w:p>
      <w:pPr>
        <w:keepNext/>
        <w:keepLines/>
        <w:pBdr>
          <w:left w:val="single" w:color="C89B3C" w:sz="18" w:space="6"/>
        </w:pBdr>
        <w:spacing w:after="100" w:before="240" w:line="276" w:lineRule="auto"/>
        <w:ind w:left="80"/>
      </w:pPr>
      <w:r>
        <w:rPr>
          <w:b/>
          <w:bCs/>
          <w:color w:val="1F3864"/>
          <w:sz w:val="22"/>
          <w:szCs w:val="22"/>
        </w:rPr>
        <w:t xml:space="preserve">D3BL 동별유의사항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50"/>
      </w:tblGrid>
      <w:tr>
        <w:trPr>
          <w:cantSplit/>
        </w:trPr>
        <w:tc>
          <w:tcPr>
            <w:tcW w:type="dxa" w:w="1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동</w:t>
            </w:r>
          </w:p>
        </w:tc>
        <w:tc>
          <w:tcPr>
            <w:tcW w:type="dxa" w:w="81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핵심 유의사항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201동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106A 실외기실 인접, 저층 출입구경사로·자전거보관소, 북측 쓰레기분리수거함(콘크리트), 근생시설 배면부 인접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202동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84E/120PA/PB 화장실·승강로 인접, 84C 필로티, 동측 쓰레기분리수거함, 서측 주민운동공간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203동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106A 실외기실 인접, 북측 쓰레기분리수거함·급배기구, 남측 놀이터·운동공간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204동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84B/120PA/PB 화장실·승강로 인접, 전체 필로티, 서측 놀이터·운동공간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205동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106A 실외기실 인접, 북측 쓰레기분리수거함·급배기구·놀이터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206동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타입조합 돌출로 하부층 일조영향, 84A1 발코니 실사용공간 상이, 북동측 쓰레기분리수거함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207동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지상2층 세대바닥 GL+200mm 이형, 84B1 발코니/창호 상이, 2층 경로당, 남서측 쓰레기분리수거함·외부계단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208동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지하1층 전체 부대복리시설, 서측 어린이집, 84B 저층 미관저해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209동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저층 출입구경사로, 남측 외부계단·라이브팜·탑라이트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210동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84D/112A 화장실·드레스룸 승강로 인접, 남측 쓰레기분리수거함·레인가든, 북측 부대복리시설</w:t>
            </w:r>
          </w:p>
        </w:tc>
      </w:tr>
      <w:tr>
        <w:trPr>
          <w:cantSplit/>
        </w:trPr>
        <w:tc>
          <w:tcPr>
            <w:tcW w:type="dxa" w:w="1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211동</w:t>
            </w:r>
          </w:p>
        </w:tc>
        <w:tc>
          <w:tcPr>
            <w:tcW w:type="dxa" w:w="81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84D/112A 화장실·드레스룸 승강로 인접, 서측 놀이터·외부계단, 북측 부대복리시설</w:t>
            </w:r>
          </w:p>
        </w:tc>
      </w:tr>
      <w:tr>
        <w:trPr>
          <w:cantSplit/>
        </w:trPr>
        <w:tc>
          <w:tcPr>
            <w:tcW w:type="dxa" w:w="1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212동</w:t>
            </w:r>
          </w:p>
        </w:tc>
        <w:tc>
          <w:tcPr>
            <w:tcW w:type="dxa" w:w="81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지상23층 스카이라운지 승강기·비상문(2~22층 짝수), 남측 쓰레기분리수거함, 북서측 단지도로·지하주차장 램프</w:t>
            </w:r>
          </w:p>
        </w:tc>
      </w:tr>
    </w:tbl>
    <w:p>
      <w:pPr>
        <w:keepLines/>
        <w:pBdr>
          <w:left w:val="single" w:color="2E5395" w:sz="28"/>
        </w:pBdr>
        <w:shd w:fill="EDF1F8" w:val="clear"/>
        <w:spacing w:after="240" w:before="100" w:line="276" w:lineRule="auto"/>
        <w:ind w:left="140"/>
      </w:pPr>
      <w:r>
        <w:rPr>
          <w:b/>
          <w:bCs/>
          <w:color w:val="2E5395"/>
        </w:rPr>
        <w:t xml:space="preserve">법무법인제이엘 검토   </w:t>
      </w:r>
      <w:r>
        <w:t xml:space="preserve">저층(1~2층)·필로티 인접 세대는 전 동 공통으로 사생활·소음 영향 있음. 202/204/207~212동(D3)은 추가로 어린이집·초등학교 신설 예정 영향권(1-6 참조). 최상층 테라스형 세대(84P/120PA/120PB)는 냄새·배관노출·난간불규칙 주의.</w:t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4부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기타 확인사항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1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75"/>
        <w:gridCol w:w="3475"/>
      </w:tblGrid>
      <w:tr>
        <w:trPr>
          <w:cantSplit/>
        </w:trPr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475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C3BL</w:t>
            </w:r>
          </w:p>
        </w:tc>
        <w:tc>
          <w:tcPr>
            <w:tcW w:type="dxa" w:w="3475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D3BL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분양보증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 정상 (보증서 06712025-101-0000400, 2,380.5억)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HUG 정상 (보증서 06712025-101-0000500, 3,893.9억)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에너지효율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제로에너지3등급 확인 / 녹색건축 등급수치 미기재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제로에너지3등급 확인 / 녹색건축 등급수치 미기재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구조형식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철근콘크리트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철근콘크리트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층간소음등급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수치 미기재 — 사후확인제도 적용(1-3 참조)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수치 미기재 — 사후확인제도 적용(1-3 참조)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전기차충전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48대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70대</w:t>
            </w:r>
          </w:p>
        </w:tc>
      </w:tr>
      <w:tr>
        <w:trPr>
          <w:cantSplit/>
        </w:trP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세대수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452세대(사전12/본청약440)</w:t>
            </w:r>
          </w:p>
        </w:tc>
        <w:tc>
          <w:tcPr>
            <w:tcW w:type="dxa" w:w="347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697세대(사전57/본청약640)</w:t>
            </w:r>
          </w:p>
        </w:tc>
      </w:tr>
      <w:tr>
        <w:trPr>
          <w:cantSplit/>
        </w:trPr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동수/층수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10동, 지하2층~지상19층</w:t>
            </w:r>
          </w:p>
        </w:tc>
        <w:tc>
          <w:tcPr>
            <w:tcW w:type="dxa" w:w="3475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12동, 지하2층~지상23층</w:t>
            </w:r>
          </w:p>
        </w:tc>
      </w:tr>
    </w:tbl>
    <w:p>
      <w:r>
        <w:br w:type="page"/>
      </w:r>
    </w:p>
    <w:p>
      <w:pPr>
        <w:keepNext/>
        <w:spacing w:after="0" w:before="42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Borders>
              <w:bottom w:val="single" w:color="C89B3C" w:sz="24"/>
            </w:tcBorders>
            <w:shd w:fill="1F386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b/>
                <w:bCs/>
                <w:color w:val="C89B3C"/>
                <w:sz w:val="24"/>
                <w:szCs w:val="24"/>
              </w:rPr>
              <w:t xml:space="preserve">부록   </w:t>
            </w:r>
            <w:r>
              <w:rPr>
                <w:b/>
                <w:bCs/>
                <w:color w:val="FFFFFF"/>
                <w:sz w:val="24"/>
                <w:szCs w:val="24"/>
              </w:rPr>
              <w:t xml:space="preserve">입에협 협의 우선순위 체크리스트</w:t>
            </w:r>
          </w:p>
        </w:tc>
      </w:tr>
    </w:tbl>
    <w:p>
      <w:pPr>
        <w:keepNext/>
        <w:spacing w:after="0" w:before="160"/>
      </w:pPr>
      <w:r>
        <w:t xml:space="preserve"/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200"/>
        <w:gridCol w:w="2950"/>
      </w:tblGrid>
      <w:tr>
        <w:trPr>
          <w:cantSplit/>
        </w:trPr>
        <w:tc>
          <w:tcPr>
            <w:tcW w:type="dxa" w:w="10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우선순위</w:t>
            </w:r>
          </w:p>
        </w:tc>
        <w:tc>
          <w:tcPr>
            <w:tcW w:type="dxa" w:w="2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항목</w:t>
            </w:r>
          </w:p>
        </w:tc>
        <w:tc>
          <w:tcPr>
            <w:tcW w:type="dxa" w:w="320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내용</w:t>
            </w:r>
          </w:p>
        </w:tc>
        <w:tc>
          <w:tcPr>
            <w:tcW w:type="dxa" w:w="2950"/>
            <w:shd w:fill="1F3864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요청사항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부도 시 이자부담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사업주체 부도시 대납 중도금이자 계약자부담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재무건전성 정기확인, 이자보장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지하주차장 방수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지하1층 슬래브 방수층 미설계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방수 상세도 공개, 추가시공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층간소음 사후확인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기준미달도 하자보수 대상 아님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미달시 하자책임 인정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공용시설 유지보수비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조형물·사인물 등 비용 전액 입주자부담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과도한 장식시설 축소 논의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커뮤니티시설 개방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주요시설 지역주민과 공동이용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입주민 우선이용시간 확보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안목치수 축소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인허가도면 대비 축소, 이의불가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축소 상한 명시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결로 면책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세대 전체 결로는 입주자 책임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원인 검증절차 신설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중도금대출 중단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유예없이 현금납부·계약해제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최소 유예기간 부여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대출은행 미선정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계약자 책임 전가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사업주체 우선부담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소유권이전 지연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지적공부정리 지연시 손배 청구불가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장기지연시 손배권 유보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어린이집·초교 신설(D3)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202/204/207~212동 소음영향권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착공·개교시점 사전공지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마감재·공법·조건 차이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C3/D3 별개사업장, 사전/본청약 조건차이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블록·시점별 형평성 논의 필요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설계변경 동의간주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경미변경 통보없이 진행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통보절차 신설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옥외조경 임의변경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동의없이 변경 가능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친환경인증 변경시 고지 요청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3순위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대지지분 오차면적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일부세대 산입, 이의불가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산입기준 공개 요청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참고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동별유의사항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 10개동/D3 12개동 전수확인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3부 매트릭스 참조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분양보증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양단지 HUG 정상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전기차충전</w:t>
            </w:r>
          </w:p>
        </w:tc>
        <w:tc>
          <w:tcPr>
            <w:tcW w:type="dxa" w:w="32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C3 48대/D3 70대</w:t>
            </w:r>
          </w:p>
        </w:tc>
        <w:tc>
          <w:tcPr>
            <w:tcW w:type="dxa" w:w="295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10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확인</w:t>
            </w:r>
          </w:p>
        </w:tc>
        <w:tc>
          <w:tcPr>
            <w:tcW w:type="dxa" w:w="2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제로에너지등급</w:t>
            </w:r>
          </w:p>
        </w:tc>
        <w:tc>
          <w:tcPr>
            <w:tcW w:type="dxa" w:w="320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3등급 (양단지 동일)</w:t>
            </w:r>
          </w:p>
        </w:tc>
        <w:tc>
          <w:tcPr>
            <w:tcW w:type="dxa" w:w="2950"/>
            <w:shd w:fill="F7F3EA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-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>
      <w:pPr>
        <w:spacing w:after="0" w:line="276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2026-07-22T02:34:23.620Z</dcterms:created>
  <dcterms:modified xsi:type="dcterms:W3CDTF">2026-07-22T02:34:23.622Z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