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88" w:name="Top"/>
      <w:pPr>
        <w:spacing w:before="1880"/>
        <w:jc w:val="center"/>
      </w:pPr>
      <w:r>
        <w:rPr>
          <w:rFonts w:ascii="Calibri" w:hAnsi="Calibri"/>
          <w:b/>
          <w:color w:val="8F6715"/>
          <w:sz w:val="20"/>
        </w:rPr>
        <w:t>LIVING EVIDENCE GUIDE</w:t>
      </w:r>
      <w:bookmarkEnd w:id="188"/>
    </w:p>
    <w:p>
      <w:pPr>
        <w:spacing w:after="160"/>
        <w:jc w:val="center"/>
      </w:pPr>
      <w:r>
        <w:rPr>
          <w:rFonts w:ascii="Calibri" w:hAnsi="Calibri"/>
          <w:b/>
          <w:color w:val="203748"/>
          <w:sz w:val="58"/>
        </w:rPr>
        <w:t>Cerebral Small Vessel Disease</w:t>
      </w:r>
    </w:p>
    <w:p>
      <w:pPr>
        <w:spacing w:after="100"/>
        <w:jc w:val="center"/>
      </w:pPr>
      <w:r>
        <w:rPr>
          <w:rFonts w:ascii="Calibri" w:hAnsi="Calibri"/>
          <w:b/>
          <w:color w:val="1F4D78"/>
          <w:sz w:val="30"/>
        </w:rPr>
        <w:t>Cerebral Amyloid Angiopathy and Brain Arteriolosclerosis</w:t>
      </w:r>
    </w:p>
    <w:p>
      <w:pPr>
        <w:spacing w:after="560"/>
        <w:jc w:val="center"/>
      </w:pPr>
      <w:r>
        <w:rPr>
          <w:rFonts w:ascii="Calibri" w:hAnsi="Calibri"/>
          <w:i/>
          <w:color w:val="5A626C"/>
          <w:sz w:val="22"/>
        </w:rPr>
        <w:t>Foundations -&gt; explicit questions -&gt; evidence -&gt; contradictions -&gt; decisive experiments</w:t>
      </w:r>
    </w:p>
    <w:p>
      <w:pPr>
        <w:ind w:left="792" w:right="792"/>
        <w:jc w:val="center"/>
      </w:pPr>
      <w:r>
        <w:rPr>
          <w:rFonts w:ascii="Calibri" w:hAnsi="Calibri"/>
          <w:color w:val="203748"/>
          <w:sz w:val="22"/>
        </w:rPr>
        <w:t>A question-driven learning and research system with cohort lineage, diagnostic validation profiles, falsifiable hypotheses, worked reasoning cases, and a living-update queue.</w:t>
      </w:r>
    </w:p>
    <w:p>
      <w:pPr>
        <w:spacing w:before="1400"/>
        <w:jc w:val="center"/>
      </w:pPr>
      <w:r>
        <w:rPr>
          <w:rFonts w:ascii="Calibri" w:hAnsi="Calibri"/>
          <w:b/>
          <w:color w:val="5A626C"/>
          <w:sz w:val="20"/>
        </w:rPr>
        <w:t>Version 0.5.1 | 18 August 2026</w:t>
      </w:r>
    </w:p>
    <w:p>
      <w:pPr>
        <w:jc w:val="center"/>
      </w:pPr>
      <w:r>
        <w:rPr>
          <w:rFonts w:ascii="Calibri" w:hAnsi="Calibri"/>
          <w:i/>
          <w:color w:val="5A626C"/>
          <w:sz w:val="19"/>
        </w:rPr>
        <w:t>Educational and research use - not patient-specific clinical guidance</w:t>
      </w:r>
    </w:p>
    <w:p>
      <w:r>
        <w:br w:type="page"/>
      </w:r>
    </w:p>
    <w:p>
      <w:bookmarkStart w:id="1" w:name="Contents"/>
      <w:pPr>
        <w:pStyle w:val="Heading1"/>
      </w:pPr>
      <w:r>
        <w:t>Contents</w:t>
      </w:r>
      <w:bookmarkEnd w:id="1"/>
    </w:p>
    <w:p>
      <w:pPr>
        <w:spacing w:after="80"/>
      </w:pPr>
      <w:hyperlink w:anchor="section_001">
        <w:r>
          <w:rPr>
            <w:color w:val="2E74B5"/>
            <w:u w:val="single"/>
            <w:sz w:val="20"/>
          </w:rPr>
          <w:t>Release snapshot</w:t>
        </w:r>
      </w:hyperlink>
    </w:p>
    <w:p>
      <w:pPr>
        <w:spacing w:after="80"/>
      </w:pPr>
      <w:hyperlink w:anchor="section_002">
        <w:r>
          <w:rPr>
            <w:color w:val="2E74B5"/>
            <w:u w:val="single"/>
            <w:sz w:val="20"/>
          </w:rPr>
          <w:t>How to Think About Cerebral Small Vessel Disease</w:t>
        </w:r>
      </w:hyperlink>
    </w:p>
    <w:p>
      <w:pPr>
        <w:spacing w:after="80"/>
      </w:pPr>
      <w:hyperlink w:anchor="section_010">
        <w:r>
          <w:rPr>
            <w:color w:val="2E74B5"/>
            <w:u w:val="single"/>
            <w:sz w:val="20"/>
          </w:rPr>
          <w:t>Cerebral Small Vessel Disease: A Field Primer</w:t>
        </w:r>
      </w:hyperlink>
    </w:p>
    <w:p>
      <w:pPr>
        <w:spacing w:after="80"/>
      </w:pPr>
      <w:hyperlink w:anchor="section_025">
        <w:r>
          <w:rPr>
            <w:color w:val="2E74B5"/>
            <w:u w:val="single"/>
            <w:sz w:val="20"/>
          </w:rPr>
          <w:t>Diagnostic Criteria and Rating Systems</w:t>
        </w:r>
      </w:hyperlink>
    </w:p>
    <w:p>
      <w:pPr>
        <w:spacing w:after="80"/>
      </w:pPr>
      <w:hyperlink w:anchor="section_035">
        <w:r>
          <w:rPr>
            <w:color w:val="2E74B5"/>
            <w:u w:val="single"/>
            <w:sz w:val="20"/>
          </w:rPr>
          <w:t>Diagnostic Transportability: What the Criteria Can and Cannot Do</w:t>
        </w:r>
      </w:hyperlink>
    </w:p>
    <w:p>
      <w:pPr>
        <w:spacing w:after="80"/>
      </w:pPr>
      <w:hyperlink w:anchor="section_043">
        <w:r>
          <w:rPr>
            <w:color w:val="2E74B5"/>
            <w:u w:val="single"/>
            <w:sz w:val="20"/>
          </w:rPr>
          <w:t>Biomarkers and Tools</w:t>
        </w:r>
      </w:hyperlink>
    </w:p>
    <w:p>
      <w:pPr>
        <w:spacing w:after="80"/>
      </w:pPr>
      <w:hyperlink w:anchor="section_053">
        <w:r>
          <w:rPr>
            <w:color w:val="2E74B5"/>
            <w:u w:val="single"/>
            <w:sz w:val="20"/>
          </w:rPr>
          <w:t>Debates, Hypotheses, and Open Questions</w:t>
        </w:r>
      </w:hyperlink>
    </w:p>
    <w:p>
      <w:pPr>
        <w:spacing w:after="80"/>
      </w:pPr>
      <w:hyperlink w:anchor="section_070">
        <w:r>
          <w:rPr>
            <w:color w:val="2E74B5"/>
            <w:u w:val="single"/>
            <w:sz w:val="20"/>
          </w:rPr>
          <w:t>Research Agenda: From Knowledge Gaps to Testable Projects</w:t>
        </w:r>
      </w:hyperlink>
    </w:p>
    <w:p>
      <w:pPr>
        <w:spacing w:after="80"/>
      </w:pPr>
      <w:hyperlink w:anchor="section_081">
        <w:r>
          <w:rPr>
            <w:color w:val="2E74B5"/>
            <w:u w:val="single"/>
            <w:sz w:val="20"/>
          </w:rPr>
          <w:t>From Reading Archive to Research Program</w:t>
        </w:r>
      </w:hyperlink>
    </w:p>
    <w:p>
      <w:pPr>
        <w:spacing w:after="80"/>
      </w:pPr>
      <w:hyperlink w:anchor="section_087">
        <w:r>
          <w:rPr>
            <w:color w:val="2E74B5"/>
            <w:u w:val="single"/>
            <w:sz w:val="20"/>
          </w:rPr>
          <w:t>Evidence Completeness Map</w:t>
        </w:r>
      </w:hyperlink>
    </w:p>
    <w:p>
      <w:pPr>
        <w:spacing w:after="80"/>
      </w:pPr>
      <w:hyperlink w:anchor="section_091">
        <w:r>
          <w:rPr>
            <w:color w:val="2E74B5"/>
            <w:u w:val="single"/>
            <w:sz w:val="20"/>
          </w:rPr>
          <w:t>Contradiction and Falsification Atlas</w:t>
        </w:r>
      </w:hyperlink>
    </w:p>
    <w:p>
      <w:pPr>
        <w:spacing w:after="80"/>
      </w:pPr>
      <w:hyperlink w:anchor="section_104">
        <w:r>
          <w:rPr>
            <w:color w:val="2E74B5"/>
            <w:u w:val="single"/>
            <w:sz w:val="20"/>
          </w:rPr>
          <w:t>Cohort Lineage and Independence</w:t>
        </w:r>
      </w:hyperlink>
    </w:p>
    <w:p>
      <w:pPr>
        <w:spacing w:after="80"/>
      </w:pPr>
      <w:hyperlink w:anchor="section_115">
        <w:r>
          <w:rPr>
            <w:color w:val="2E74B5"/>
            <w:u w:val="single"/>
            <w:sz w:val="20"/>
          </w:rPr>
          <w:t>Diagnostic Evidence Profiles</w:t>
        </w:r>
      </w:hyperlink>
    </w:p>
    <w:p>
      <w:pPr>
        <w:spacing w:after="80"/>
      </w:pPr>
      <w:hyperlink w:anchor="section_123">
        <w:r>
          <w:rPr>
            <w:color w:val="2E74B5"/>
            <w:u w:val="single"/>
            <w:sz w:val="20"/>
          </w:rPr>
          <w:t>Worked Reasoning Cases</w:t>
        </w:r>
      </w:hyperlink>
    </w:p>
    <w:p>
      <w:pPr>
        <w:spacing w:after="80"/>
      </w:pPr>
      <w:hyperlink w:anchor="section_132">
        <w:r>
          <w:rPr>
            <w:color w:val="2E74B5"/>
            <w:u w:val="single"/>
            <w:sz w:val="20"/>
          </w:rPr>
          <w:t>Living Update Workflow</w:t>
        </w:r>
      </w:hyperlink>
    </w:p>
    <w:p>
      <w:pPr>
        <w:spacing w:after="80"/>
      </w:pPr>
      <w:hyperlink w:anchor="section_135">
        <w:r>
          <w:rPr>
            <w:color w:val="2E74B5"/>
            <w:u w:val="single"/>
            <w:sz w:val="20"/>
          </w:rPr>
          <w:t>Reading Path: From First Principles to Research Fluency</w:t>
        </w:r>
      </w:hyperlink>
    </w:p>
    <w:p>
      <w:pPr>
        <w:spacing w:after="80"/>
      </w:pPr>
      <w:hyperlink w:anchor="section_143">
        <w:r>
          <w:rPr>
            <w:color w:val="2E74B5"/>
            <w:u w:val="single"/>
            <w:sz w:val="20"/>
          </w:rPr>
          <w:t>Appendix A. Research Question and Completeness Atlas</w:t>
        </w:r>
      </w:hyperlink>
    </w:p>
    <w:p>
      <w:pPr>
        <w:spacing w:after="80"/>
      </w:pPr>
      <w:hyperlink w:anchor="section_165">
        <w:r>
          <w:rPr>
            <w:color w:val="2E74B5"/>
            <w:u w:val="single"/>
            <w:sz w:val="20"/>
          </w:rPr>
          <w:t>Appendix B. Contradiction and Falsification Atlas</w:t>
        </w:r>
      </w:hyperlink>
    </w:p>
    <w:p>
      <w:pPr>
        <w:spacing w:after="80"/>
      </w:pPr>
      <w:hyperlink w:anchor="section_166">
        <w:r>
          <w:rPr>
            <w:color w:val="2E74B5"/>
            <w:u w:val="single"/>
            <w:sz w:val="20"/>
          </w:rPr>
          <w:t>Appendix C. Cohort Lineage and Independence</w:t>
        </w:r>
      </w:hyperlink>
    </w:p>
    <w:p>
      <w:pPr>
        <w:spacing w:after="80"/>
      </w:pPr>
      <w:hyperlink w:anchor="section_167">
        <w:r>
          <w:rPr>
            <w:color w:val="2E74B5"/>
            <w:u w:val="single"/>
            <w:sz w:val="20"/>
          </w:rPr>
          <w:t>Appendix D. Diagnostic Evidence Profiles</w:t>
        </w:r>
      </w:hyperlink>
    </w:p>
    <w:p>
      <w:pPr>
        <w:spacing w:after="80"/>
      </w:pPr>
      <w:hyperlink w:anchor="section_168">
        <w:r>
          <w:rPr>
            <w:color w:val="2E74B5"/>
            <w:u w:val="single"/>
            <w:sz w:val="20"/>
          </w:rPr>
          <w:t>Appendix E. Phenotype Differential Matrix</w:t>
        </w:r>
      </w:hyperlink>
    </w:p>
    <w:p>
      <w:pPr>
        <w:spacing w:after="80"/>
      </w:pPr>
      <w:hyperlink w:anchor="section_169">
        <w:r>
          <w:rPr>
            <w:color w:val="2E74B5"/>
            <w:u w:val="single"/>
            <w:sz w:val="20"/>
          </w:rPr>
          <w:t>Appendix F. Worked Reasoning Cases</w:t>
        </w:r>
      </w:hyperlink>
    </w:p>
    <w:p>
      <w:pPr>
        <w:spacing w:after="80"/>
      </w:pPr>
      <w:hyperlink w:anchor="section_170">
        <w:r>
          <w:rPr>
            <w:color w:val="2E74B5"/>
            <w:u w:val="single"/>
            <w:sz w:val="20"/>
          </w:rPr>
          <w:t>Appendix G. Living Update Queue</w:t>
        </w:r>
      </w:hyperlink>
    </w:p>
    <w:p>
      <w:pPr>
        <w:spacing w:after="80"/>
      </w:pPr>
      <w:hyperlink w:anchor="section_171">
        <w:r>
          <w:rPr>
            <w:color w:val="2E74B5"/>
            <w:u w:val="single"/>
            <w:sz w:val="20"/>
          </w:rPr>
          <w:t>Appendix H. Living Claim-Evidence Ledger</w:t>
        </w:r>
      </w:hyperlink>
    </w:p>
    <w:p>
      <w:pPr>
        <w:spacing w:after="80"/>
      </w:pPr>
      <w:hyperlink w:anchor="section_172">
        <w:r>
          <w:rPr>
            <w:color w:val="2E74B5"/>
            <w:u w:val="single"/>
            <w:sz w:val="20"/>
          </w:rPr>
          <w:t>Appendix I. Pivotal Study Atlas</w:t>
        </w:r>
      </w:hyperlink>
    </w:p>
    <w:p>
      <w:pPr>
        <w:spacing w:after="80"/>
      </w:pPr>
      <w:hyperlink w:anchor="section_173">
        <w:r>
          <w:rPr>
            <w:color w:val="2E74B5"/>
            <w:u w:val="single"/>
            <w:sz w:val="20"/>
          </w:rPr>
          <w:t>Appendix J. Criteria, Biomarker, and Tool Registry</w:t>
        </w:r>
      </w:hyperlink>
    </w:p>
    <w:p>
      <w:pPr>
        <w:spacing w:after="80"/>
      </w:pPr>
      <w:hyperlink w:anchor="section_174">
        <w:r>
          <w:rPr>
            <w:color w:val="2E74B5"/>
            <w:u w:val="single"/>
            <w:sz w:val="20"/>
          </w:rPr>
          <w:t>Appendix K. Curated Source Registry</w:t>
        </w:r>
      </w:hyperlink>
    </w:p>
    <w:p>
      <w:r>
        <w:br w:type="page"/>
      </w:r>
    </w:p>
    <w:p>
      <w:bookmarkStart w:id="10" w:name="section_001"/>
      <w:pPr>
        <w:pStyle w:val="Heading1"/>
      </w:pPr>
      <w:r>
        <w:t>Release snapshot</w:t>
      </w:r>
      <w:bookmarkEnd w:id="10"/>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Version 0.5.1 is a synchronized question-driven learning and evidence system, not a completed systematic review. The Word edition, repository records, and website are generated from the same maintained chapters and evidence tables.</w:t>
      </w:r>
    </w:p>
    <w:tbl>
      <w:tblPr>
        <w:tblStyle w:val="TableGrid"/>
        <w:tblW w:type="dxa" w:w="9360"/>
        <w:jc w:val="left"/>
        <w:tblLayout w:type="fixed"/>
        <w:tblLook w:firstColumn="1" w:firstRow="1" w:lastColumn="0" w:lastRow="0" w:noHBand="0" w:noVBand="1" w:val="04A0"/>
        <w:tblInd w:w="120" w:type="dxa"/>
      </w:tblPr>
      <w:tblGrid>
        <w:gridCol w:w="2200"/>
        <w:gridCol w:w="1000"/>
        <w:gridCol w:w="6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Object</w:t>
            </w:r>
          </w:p>
        </w:tc>
        <w:tc>
          <w:tcPr>
            <w:tcW w:type="dxa" w:w="10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Count</w:t>
            </w:r>
          </w:p>
        </w:tc>
        <w:tc>
          <w:tcPr>
            <w:tcW w:type="dxa" w:w="6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What changed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Scholarly sources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61</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Curated; citation-only and extracted records are distinguishable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Structured pivotal studies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21</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 population, result, limitations, and provisional appraisal</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Living claims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24</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Normalized confidence and explicit claim boundaries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Evidence relationships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67</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 challenge, qualification, context, null, or method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Criteria/tools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19</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 of use, inputs, outputs, validation, and failure modes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Answerable research questions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40</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Bounded, emerging, or critical-gap status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Cohort lineage records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10</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Reuse and independence are explicit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evidence profiles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7</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Seven-link validation chain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Falsifiable hypotheses</w:t>
            </w:r>
          </w:p>
        </w:tc>
        <w:tc>
          <w:tcPr>
            <w:tcW w:type="dxa" w:w="10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12</w:t>
            </w:r>
          </w:p>
        </w:tc>
        <w:tc>
          <w:tcPr>
            <w:tcW w:type="dxa" w:w="6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For, against, alternatives, falsifier, and decisive experiment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Original figures</w:t>
            </w:r>
          </w:p>
        </w:tc>
        <w:tc>
          <w:tcPr>
            <w:tcW w:type="dxa" w:w="10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14</w:t>
            </w:r>
          </w:p>
        </w:tc>
        <w:tc>
          <w:tcPr>
            <w:tcW w:type="dxa" w:w="6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Designed for causal, diagnostic, and evidence-method understanding</w:t>
            </w:r>
          </w:p>
        </w:tc>
      </w:tr>
    </w:tbl>
    <w:p>
      <w:pPr>
        <w:spacing w:before="160"/>
      </w:pPr>
      <w:r>
        <w:rPr>
          <w:rFonts w:ascii="Calibri" w:hAnsi="Calibri"/>
          <w:b/>
          <w:color w:val="8B2D2D"/>
          <w:sz w:val="21"/>
        </w:rPr>
        <w:t xml:space="preserve">Interpretive warning. </w:t>
      </w:r>
      <w:r>
        <w:rPr>
          <w:rFonts w:ascii="Calibri" w:hAnsi="Calibri"/>
          <w:color w:val="203748"/>
          <w:sz w:val="21"/>
        </w:rPr>
        <w:t>A polished criterion or biomarker can still be population-dependent. Always inspect the intended context, reference standard, spectrum, and external validation.</w:t>
      </w:r>
    </w:p>
    <w:p>
      <w:pPr>
        <w:keepNext/>
        <w:spacing w:before="160" w:after="60"/>
        <w:jc w:val="center"/>
      </w:pPr>
      <w:r>
        <w:drawing>
          <wp:inline xmlns:a="http://schemas.openxmlformats.org/drawingml/2006/main" xmlns:pic="http://schemas.openxmlformats.org/drawingml/2006/picture">
            <wp:extent cx="5715000" cy="3214688"/>
            <wp:docPr id="1" name="Picture 1" descr="Synchronized knowledge architecture connecting canonical chapters and evidence records to the Word edition, repository, and website." title="Synchronized knowledge architecture connecting canonical chapters and evidence records to the Word edition, repository, and website"/>
            <wp:cNvGraphicFramePr>
              <a:graphicFrameLocks noChangeAspect="1"/>
            </wp:cNvGraphicFramePr>
            <a:graphic>
              <a:graphicData uri="http://schemas.openxmlformats.org/drawingml/2006/picture">
                <pic:pic>
                  <pic:nvPicPr>
                    <pic:cNvPr id="0" name="figure_14_v03_architecture.png"/>
                    <pic:cNvPicPr/>
                  </pic:nvPicPr>
                  <pic:blipFill>
                    <a:blip r:embed="rId1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 </w:t>
      </w:r>
      <w:r>
        <w:rPr>
          <w:rFonts w:ascii="Calibri" w:hAnsi="Calibri"/>
          <w:i/>
          <w:color w:val="5A626C"/>
          <w:sz w:val="19"/>
        </w:rPr>
        <w:t>Synchronized knowledge architecture connecting canonical chapters and evidence records to the Word edition, repository, and website.</w:t>
      </w:r>
    </w:p>
    <w:p>
      <w:bookmarkStart w:id="11" w:name="section_002"/>
      <w:pPr>
        <w:pStyle w:val="Heading1"/>
      </w:pPr>
      <w:r>
        <w:t>How to Think About Cerebral Small Vessel Disease</w:t>
      </w:r>
      <w:bookmarkEnd w:id="11"/>
      <w:r>
        <w:rPr>
          <w:rFonts w:ascii="Calibri" w:hAnsi="Calibri"/>
          <w:color w:val="000000"/>
          <w:sz w:val="16"/>
        </w:rPr>
        <w:t xml:space="preserve">   </w:t>
      </w:r>
      <w:hyperlink w:anchor="Contents">
        <w:r>
          <w:rPr>
            <w:color w:val="2E74B5"/>
            <w:u w:val="single"/>
            <w:sz w:val="16"/>
          </w:rPr>
          <w:t>Back to contents</w:t>
        </w:r>
      </w:hyperlink>
    </w:p>
    <w:p>
      <w:bookmarkStart w:id="12" w:name="section_003"/>
      <w:pPr>
        <w:pStyle w:val="Heading2"/>
      </w:pPr>
      <w:r>
        <w:t>Learning objectives</w:t>
      </w:r>
      <w:bookmarkEnd w:id="12"/>
    </w:p>
    <w:p>
      <w:pPr>
        <w:spacing w:before="0" w:after="120" w:line="300" w:lineRule="auto"/>
      </w:pPr>
      <w:r>
        <w:rPr>
          <w:rFonts w:ascii="Calibri" w:hAnsi="Calibri"/>
          <w:color w:val="000000"/>
          <w:sz w:val="22"/>
        </w:rPr>
        <w:t>By the end of this opening module, you should be able to distinguish a visible lesion from its cause, explain why CAA and arteriolosclerosis overlap without being interchangeable, and describe what evidence would be required to turn an imaging association into a diagnostic biomarker.</w:t>
      </w:r>
    </w:p>
    <w:p>
      <w:bookmarkStart w:id="13" w:name="section_004"/>
      <w:pPr>
        <w:pStyle w:val="Heading2"/>
      </w:pPr>
      <w:r>
        <w:t>The field studies a hidden system</w:t>
      </w:r>
      <w:bookmarkEnd w:id="13"/>
    </w:p>
    <w:p>
      <w:pPr>
        <w:spacing w:before="0" w:after="120" w:line="300" w:lineRule="auto"/>
      </w:pPr>
      <w:r>
        <w:rPr>
          <w:rFonts w:ascii="Calibri" w:hAnsi="Calibri"/>
          <w:color w:val="000000"/>
          <w:sz w:val="22"/>
        </w:rPr>
        <w:t>Most cerebral small vessels cannot be resolved directly on ordinary clinical MRI. Investigators therefore reason from effects: a microbleed, lacune, white-matter signal abnormality, enlarged perivascular space, diffusion change, impaired vascular reactivity, cognitive trajectory, or microscopic lesion. These observations are real, but the path from observation to cause is uncertain.</w:t>
      </w:r>
    </w:p>
    <w:p>
      <w:pPr>
        <w:spacing w:before="0" w:after="120" w:line="300" w:lineRule="auto"/>
      </w:pPr>
      <w:r>
        <w:rPr>
          <w:rFonts w:ascii="Calibri" w:hAnsi="Calibri"/>
          <w:color w:val="000000"/>
          <w:sz w:val="22"/>
        </w:rPr>
        <w:t xml:space="preserve">The central discipline of this field is therefore </w:t>
      </w:r>
      <w:r>
        <w:rPr>
          <w:rFonts w:ascii="Calibri" w:hAnsi="Calibri"/>
          <w:b/>
          <w:color w:val="000000"/>
          <w:sz w:val="22"/>
        </w:rPr>
        <w:t>calibrated inference</w:t>
      </w:r>
      <w:r>
        <w:rPr>
          <w:rFonts w:ascii="Calibri" w:hAnsi="Calibri"/>
          <w:color w:val="000000"/>
          <w:sz w:val="22"/>
        </w:rPr>
        <w:t>. A lesion is first described in standardized terms. Its location, morphology, multiplicity, age, acquisition method, and clinical context are recorded. Only then is it used to update the probability of CAA, arteriolosclerosis, another vasculopathy, an embolic source, inflammation, trauma, treatment effect, or mixed disease.</w:t>
      </w:r>
    </w:p>
    <w:p>
      <w:pPr>
        <w:spacing w:before="80" w:after="160" w:line="288" w:lineRule="auto"/>
        <w:ind w:left="403" w:right="259"/>
        <w:shd w:fill="F4F6F9"/>
      </w:pPr>
      <w:r>
        <w:rPr>
          <w:rFonts w:ascii="Calibri" w:hAnsi="Calibri"/>
          <w:color w:val="203748"/>
          <w:sz w:val="22"/>
        </w:rPr>
        <w:t>Core rule: an imaging marker can be reproducible without being etiologically specific, and a pathology can be clinically important without having a unique visible marker.</w:t>
      </w:r>
    </w:p>
    <w:p>
      <w:bookmarkStart w:id="14" w:name="section_005"/>
      <w:pPr>
        <w:pStyle w:val="Heading2"/>
      </w:pPr>
      <w:r>
        <w:t>Five levels that must remain separate</w:t>
      </w:r>
      <w:bookmarkEnd w:id="14"/>
    </w:p>
    <w:p>
      <w:pPr>
        <w:keepNext/>
        <w:spacing w:before="160" w:after="80"/>
      </w:pPr>
      <w:r>
        <w:rPr>
          <w:rFonts w:ascii="Calibri" w:hAnsi="Calibri"/>
          <w:b/>
          <w:color w:val="1F4D78"/>
          <w:sz w:val="22"/>
        </w:rPr>
        <w:t>Observation</w:t>
      </w:r>
    </w:p>
    <w:p>
      <w:pPr>
        <w:spacing w:before="0" w:after="120" w:line="300" w:lineRule="auto"/>
      </w:pPr>
      <w:r>
        <w:rPr>
          <w:rFonts w:ascii="Calibri" w:hAnsi="Calibri"/>
          <w:color w:val="000000"/>
          <w:sz w:val="22"/>
        </w:rPr>
        <w:t>What was measured? Examples include a round susceptibility focus, FLAIR hyperintensity, a cortical sulcal hemosiderin pattern, a high ARTS score, or vascular amyloid in a sampled tissue block. Acquisition and measurement error live at this level.</w:t>
      </w:r>
    </w:p>
    <w:p>
      <w:pPr>
        <w:keepNext/>
        <w:spacing w:before="160" w:after="80"/>
      </w:pPr>
      <w:r>
        <w:rPr>
          <w:rFonts w:ascii="Calibri" w:hAnsi="Calibri"/>
          <w:b/>
          <w:color w:val="1F4D78"/>
          <w:sz w:val="22"/>
        </w:rPr>
        <w:t>Phenotype</w:t>
      </w:r>
    </w:p>
    <w:p>
      <w:pPr>
        <w:spacing w:before="0" w:after="120" w:line="300" w:lineRule="auto"/>
      </w:pPr>
      <w:r>
        <w:rPr>
          <w:rFonts w:ascii="Calibri" w:hAnsi="Calibri"/>
          <w:color w:val="000000"/>
          <w:sz w:val="22"/>
        </w:rPr>
        <w:t>How are observations organized? Examples include a strictly lobar hemorrhagic pattern, a deep perforator pattern, or diffuse white-matter injury. Phenotypes are more informative than isolated lesions but remain descriptions.</w:t>
      </w:r>
    </w:p>
    <w:p>
      <w:pPr>
        <w:keepNext/>
        <w:spacing w:before="160" w:after="80"/>
      </w:pPr>
      <w:r>
        <w:rPr>
          <w:rFonts w:ascii="Calibri" w:hAnsi="Calibri"/>
          <w:b/>
          <w:color w:val="1F4D78"/>
          <w:sz w:val="22"/>
        </w:rPr>
        <w:t>Etiologic inference</w:t>
      </w:r>
    </w:p>
    <w:p>
      <w:pPr>
        <w:spacing w:before="0" w:after="120" w:line="300" w:lineRule="auto"/>
      </w:pPr>
      <w:r>
        <w:rPr>
          <w:rFonts w:ascii="Calibri" w:hAnsi="Calibri"/>
          <w:color w:val="000000"/>
          <w:sz w:val="22"/>
        </w:rPr>
        <w:t>Which vessel-wall pathology is more likely, and by how much? This is where tissue-referenced diagnostic-accuracy studies matter. The answer depends on the population: a marker's positive predictive value in a hemorrhage clinic is not its value in asymptomatic community screening.</w:t>
      </w:r>
    </w:p>
    <w:p>
      <w:pPr>
        <w:keepNext/>
        <w:spacing w:before="160" w:after="80"/>
      </w:pPr>
      <w:r>
        <w:rPr>
          <w:rFonts w:ascii="Calibri" w:hAnsi="Calibri"/>
          <w:b/>
          <w:color w:val="1F4D78"/>
          <w:sz w:val="22"/>
        </w:rPr>
        <w:t>Mechanism</w:t>
      </w:r>
    </w:p>
    <w:p>
      <w:pPr>
        <w:spacing w:before="0" w:after="120" w:line="300" w:lineRule="auto"/>
      </w:pPr>
      <w:r>
        <w:rPr>
          <w:rFonts w:ascii="Calibri" w:hAnsi="Calibri"/>
          <w:color w:val="000000"/>
          <w:sz w:val="22"/>
        </w:rPr>
        <w:t>Why did the pathology or lesion develop? Perivascular clearance failure, blood-brain barrier disruption, smooth-muscle loss, altered pulsatility, inflammation, hypoperfusion, venous dysfunction, and impaired repair are candidate mechanisms. Spatial association or severity ordering can support a mechanism but rarely proves temporal causation.</w:t>
      </w:r>
    </w:p>
    <w:p>
      <w:pPr>
        <w:keepNext/>
        <w:spacing w:before="160" w:after="80"/>
      </w:pPr>
      <w:r>
        <w:rPr>
          <w:rFonts w:ascii="Calibri" w:hAnsi="Calibri"/>
          <w:b/>
          <w:color w:val="1F4D78"/>
          <w:sz w:val="22"/>
        </w:rPr>
        <w:t>Clinical action</w:t>
      </w:r>
    </w:p>
    <w:p>
      <w:pPr>
        <w:spacing w:before="0" w:after="120" w:line="300" w:lineRule="auto"/>
      </w:pPr>
      <w:r>
        <w:rPr>
          <w:rFonts w:ascii="Calibri" w:hAnsi="Calibri"/>
          <w:color w:val="000000"/>
          <w:sz w:val="22"/>
        </w:rPr>
        <w:t>What should be done? Action requires more than diagnostic probability. It incorporates competing ischemic and hemorrhagic risks, indication strength, treatment effects, patient values, and current guidance. This guide is educational and does not provide patient-specific management.</w:t>
      </w:r>
    </w:p>
    <w:p>
      <w:bookmarkStart w:id="15" w:name="section_006"/>
      <w:pPr>
        <w:pStyle w:val="Heading2"/>
      </w:pPr>
      <w:r>
        <w:t>The minimum sufficient mental model</w:t>
      </w:r>
      <w:bookmarkEnd w:id="15"/>
    </w:p>
    <w:p>
      <w:pPr>
        <w:spacing w:before="0" w:after="120" w:line="300" w:lineRule="auto"/>
      </w:pPr>
      <w:r>
        <w:rPr>
          <w:rFonts w:ascii="Calibri" w:hAnsi="Calibri"/>
          <w:color w:val="000000"/>
          <w:sz w:val="22"/>
        </w:rPr>
        <w:t>Small-vessel disease can be understood as a chain with feedback:</w:t>
      </w:r>
    </w:p>
    <w:p>
      <w:pPr>
        <w:spacing w:before="0" w:after="120" w:line="300" w:lineRule="auto"/>
      </w:pPr>
      <w:r>
        <w:rPr>
          <w:rFonts w:ascii="Menlo" w:hAnsi="Menlo"/>
          <w:color w:val="1F4D78"/>
          <w:sz w:val="21"/>
        </w:rPr>
        <w:t>susceptibility and exposures -&gt; vessel wall/neurovascular unit -&gt; physiology -&gt; microscopic tissue injury -&gt; visible markers -&gt; network dysfunction and clinical outcomes</w:t>
      </w:r>
    </w:p>
    <w:p>
      <w:pPr>
        <w:spacing w:before="0" w:after="120" w:line="300" w:lineRule="auto"/>
      </w:pPr>
      <w:r>
        <w:rPr>
          <w:rFonts w:ascii="Calibri" w:hAnsi="Calibri"/>
          <w:color w:val="000000"/>
          <w:sz w:val="22"/>
        </w:rPr>
        <w:t>Feedback occurs at every level. Tissue injury alters perfusion and clearance. Amyloid deposition damages smooth muscle and may further impair clearance. Inflammation can remove amyloid, increase permeability, or contribute to injury depending on stage and context. A useful hypothesis specifies which arrow it addresses and what observation would distinguish it from alternatives.</w:t>
      </w:r>
    </w:p>
    <w:p>
      <w:bookmarkStart w:id="16" w:name="section_007"/>
      <w:pPr>
        <w:pStyle w:val="Heading2"/>
      </w:pPr>
      <w:r>
        <w:t>Why location matters but never settles the diagnosis</w:t>
      </w:r>
      <w:bookmarkEnd w:id="16"/>
    </w:p>
    <w:p>
      <w:pPr>
        <w:spacing w:before="0" w:after="120" w:line="300" w:lineRule="auto"/>
      </w:pPr>
      <w:r>
        <w:rPr>
          <w:rFonts w:ascii="Calibri" w:hAnsi="Calibri"/>
          <w:color w:val="000000"/>
          <w:sz w:val="22"/>
        </w:rPr>
        <w:t>CAA preferentially affects cortical and leptomeningeal vessels. Non-amyloid arteriolosclerotic disease prominently affects penetrating arterioles supplying deep gray nuclei, deep white matter, brainstem, and cerebellum, while also occurring elsewhere. This produces an important probabilistic contrast between lobar and deep injury.</w:t>
      </w:r>
    </w:p>
    <w:p>
      <w:pPr>
        <w:spacing w:before="0" w:after="120" w:line="300" w:lineRule="auto"/>
      </w:pPr>
      <w:r>
        <w:rPr>
          <w:rFonts w:ascii="Calibri" w:hAnsi="Calibri"/>
          <w:color w:val="000000"/>
          <w:sz w:val="22"/>
        </w:rPr>
        <w:t>The contrast is not absolute. Lesion-level pathology has shown that arteriolosclerosis can underlie lobar microbleeds in false-positive probable CAA cases. Conversely, mixed CAA and arteriolosclerosis are common. The appropriate question is therefore not “Which disease owns this lesion?” but “How much does this lesion, in this compartment and context, change the competing probabilities?”</w:t>
      </w:r>
    </w:p>
    <w:p>
      <w:bookmarkStart w:id="17" w:name="section_008"/>
      <w:pPr>
        <w:pStyle w:val="Heading2"/>
      </w:pPr>
      <w:r>
        <w:t>Three kinds of validation</w:t>
      </w:r>
      <w:bookmarkEnd w:id="17"/>
    </w:p>
    <w:p>
      <w:pPr>
        <w:keepNext/>
        <w:spacing w:before="160" w:after="80"/>
      </w:pPr>
      <w:r>
        <w:rPr>
          <w:rFonts w:ascii="Calibri" w:hAnsi="Calibri"/>
          <w:b/>
          <w:color w:val="1F4D78"/>
          <w:sz w:val="22"/>
        </w:rPr>
        <w:t>Technical validation</w:t>
      </w:r>
    </w:p>
    <w:p>
      <w:pPr>
        <w:spacing w:before="0" w:after="120" w:line="300" w:lineRule="auto"/>
      </w:pPr>
      <w:r>
        <w:rPr>
          <w:rFonts w:ascii="Calibri" w:hAnsi="Calibri"/>
          <w:color w:val="000000"/>
          <w:sz w:val="22"/>
        </w:rPr>
        <w:t>Does the measurement repeat across raters, scans, scanners, sites, software versions, and plausible image quality? Technical reliability is necessary before biological interpretation.</w:t>
      </w:r>
    </w:p>
    <w:p>
      <w:pPr>
        <w:keepNext/>
        <w:spacing w:before="160" w:after="80"/>
      </w:pPr>
      <w:r>
        <w:rPr>
          <w:rFonts w:ascii="Calibri" w:hAnsi="Calibri"/>
          <w:b/>
          <w:color w:val="1F4D78"/>
          <w:sz w:val="22"/>
        </w:rPr>
        <w:t>Biological or diagnostic validation</w:t>
      </w:r>
    </w:p>
    <w:p>
      <w:pPr>
        <w:spacing w:before="0" w:after="120" w:line="300" w:lineRule="auto"/>
      </w:pPr>
      <w:r>
        <w:rPr>
          <w:rFonts w:ascii="Calibri" w:hAnsi="Calibri"/>
          <w:color w:val="000000"/>
          <w:sz w:val="22"/>
        </w:rPr>
        <w:t>Does the measurement correspond to the target pathology or state using an independent reference standard? The reference must be appropriate and measured without knowledge of the index test when possible.</w:t>
      </w:r>
    </w:p>
    <w:p>
      <w:pPr>
        <w:keepNext/>
        <w:spacing w:before="160" w:after="80"/>
      </w:pPr>
      <w:r>
        <w:rPr>
          <w:rFonts w:ascii="Calibri" w:hAnsi="Calibri"/>
          <w:b/>
          <w:color w:val="1F4D78"/>
          <w:sz w:val="22"/>
        </w:rPr>
        <w:t>Clinical validation and utility</w:t>
      </w:r>
    </w:p>
    <w:p>
      <w:pPr>
        <w:spacing w:before="0" w:after="120" w:line="300" w:lineRule="auto"/>
      </w:pPr>
      <w:r>
        <w:rPr>
          <w:rFonts w:ascii="Calibri" w:hAnsi="Calibri"/>
          <w:color w:val="000000"/>
          <w:sz w:val="22"/>
        </w:rPr>
        <w:t>Does the measurement predict an outcome, improve an existing model, change a decision, or improve patient-important outcomes? Association with cognition is not the same as pathology discrimination; pathology discrimination is not the same as clinical benefit.</w:t>
      </w:r>
    </w:p>
    <w:p>
      <w:pPr>
        <w:spacing w:before="0" w:after="120" w:line="300" w:lineRule="auto"/>
      </w:pPr>
      <w:r>
        <w:rPr>
          <w:rFonts w:ascii="Calibri" w:hAnsi="Calibri"/>
          <w:color w:val="000000"/>
          <w:sz w:val="22"/>
        </w:rPr>
        <w:t>ARTS illustrates the distinction. It has pathology-linked development, reported technical reproducibility, and associations with cognitive and vascular outcomes. These are three valuable but separate bodies of evidence. They do not yet establish a universally calibrated clinical diagnosis of arteriolosclerosis.</w:t>
      </w:r>
    </w:p>
    <w:p>
      <w:bookmarkStart w:id="18" w:name="section_009"/>
      <w:pPr>
        <w:pStyle w:val="Heading2"/>
      </w:pPr>
      <w:r>
        <w:t>A self-check before moving on</w:t>
      </w:r>
      <w:bookmarkEnd w:id="18"/>
    </w:p>
    <w:p>
      <w:pPr>
        <w:numPr>
          <w:ilvl w:val="0"/>
          <w:numId w:val="10"/>
        </w:numPr>
        <w:spacing w:before="0" w:after="80" w:line="300" w:lineRule="auto"/>
      </w:pPr>
      <w:r>
        <w:rPr>
          <w:rFonts w:ascii="Calibri" w:hAnsi="Calibri"/>
          <w:color w:val="000000"/>
          <w:sz w:val="22"/>
        </w:rPr>
        <w:t>Can you describe a microbleed without naming its cause?</w:t>
      </w:r>
    </w:p>
    <w:p>
      <w:pPr>
        <w:numPr>
          <w:ilvl w:val="0"/>
          <w:numId w:val="10"/>
        </w:numPr>
        <w:spacing w:before="0" w:after="80" w:line="300" w:lineRule="auto"/>
      </w:pPr>
      <w:r>
        <w:rPr>
          <w:rFonts w:ascii="Calibri" w:hAnsi="Calibri"/>
          <w:color w:val="000000"/>
          <w:sz w:val="22"/>
        </w:rPr>
        <w:t>Can you explain why specificity and positive predictive value change with the population?</w:t>
      </w:r>
    </w:p>
    <w:p>
      <w:pPr>
        <w:numPr>
          <w:ilvl w:val="0"/>
          <w:numId w:val="10"/>
        </w:numPr>
        <w:spacing w:before="0" w:after="80" w:line="300" w:lineRule="auto"/>
      </w:pPr>
      <w:r>
        <w:rPr>
          <w:rFonts w:ascii="Calibri" w:hAnsi="Calibri"/>
          <w:color w:val="000000"/>
          <w:sz w:val="22"/>
        </w:rPr>
        <w:t>Can you distinguish repeatability, pathology accuracy, prognostic association, and clinical utility?</w:t>
      </w:r>
    </w:p>
    <w:p>
      <w:pPr>
        <w:numPr>
          <w:ilvl w:val="0"/>
          <w:numId w:val="10"/>
        </w:numPr>
        <w:spacing w:before="0" w:after="80" w:line="300" w:lineRule="auto"/>
      </w:pPr>
      <w:r>
        <w:rPr>
          <w:rFonts w:ascii="Calibri" w:hAnsi="Calibri"/>
          <w:color w:val="000000"/>
          <w:sz w:val="22"/>
        </w:rPr>
        <w:t>Can you name at least three co-pathologies that could distort a vascular-cognition association?</w:t>
      </w:r>
    </w:p>
    <w:p>
      <w:pPr>
        <w:spacing w:before="0" w:after="120" w:line="300" w:lineRule="auto"/>
      </w:pPr>
      <w:r>
        <w:rPr>
          <w:rFonts w:ascii="Calibri" w:hAnsi="Calibri"/>
          <w:color w:val="000000"/>
          <w:sz w:val="22"/>
        </w:rPr>
        <w:t>If not, revisit this module after reading the field primer. The rest of the archive assumes these distinctions.</w:t>
      </w:r>
    </w:p>
    <w:p>
      <w:pPr>
        <w:keepNext/>
        <w:spacing w:before="160" w:after="60"/>
        <w:jc w:val="center"/>
      </w:pPr>
      <w:r>
        <w:drawing>
          <wp:inline xmlns:a="http://schemas.openxmlformats.org/drawingml/2006/main" xmlns:pic="http://schemas.openxmlformats.org/drawingml/2006/picture">
            <wp:extent cx="5715000" cy="3214688"/>
            <wp:docPr id="2" name="Picture 2" descr="Five-level inference ladder separating observation, phenotype, etiology, mechanism, and clinical action." title="Five-level inference ladder separating observation, phenotype, etiology, mechanism, and clinical action"/>
            <wp:cNvGraphicFramePr>
              <a:graphicFrameLocks noChangeAspect="1"/>
            </wp:cNvGraphicFramePr>
            <a:graphic>
              <a:graphicData uri="http://schemas.openxmlformats.org/drawingml/2006/picture">
                <pic:pic>
                  <pic:nvPicPr>
                    <pic:cNvPr id="0" name="figure_01_inference_ladder.png"/>
                    <pic:cNvPicPr/>
                  </pic:nvPicPr>
                  <pic:blipFill>
                    <a:blip r:embed="rId1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2. </w:t>
      </w:r>
      <w:r>
        <w:rPr>
          <w:rFonts w:ascii="Calibri" w:hAnsi="Calibri"/>
          <w:i/>
          <w:color w:val="5A626C"/>
          <w:sz w:val="19"/>
        </w:rPr>
        <w:t>Five-level inference ladder separating observation, phenotype, etiology, mechanism, and clinical action.</w:t>
      </w:r>
    </w:p>
    <w:p>
      <w:bookmarkStart w:id="19" w:name="section_010"/>
      <w:pPr>
        <w:pStyle w:val="Heading1"/>
      </w:pPr>
      <w:r>
        <w:t>Cerebral Small Vessel Disease: A Field Primer</w:t>
      </w:r>
      <w:bookmarkEnd w:id="19"/>
      <w:r>
        <w:rPr>
          <w:rFonts w:ascii="Calibri" w:hAnsi="Calibri"/>
          <w:color w:val="000000"/>
          <w:sz w:val="16"/>
        </w:rPr>
        <w:t xml:space="preserve">   </w:t>
      </w:r>
      <w:hyperlink w:anchor="Contents">
        <w:r>
          <w:rPr>
            <w:color w:val="2E74B5"/>
            <w:u w:val="single"/>
            <w:sz w:val="16"/>
          </w:rPr>
          <w:t>Back to contents</w:t>
        </w:r>
      </w:hyperlink>
    </w:p>
    <w:p>
      <w:bookmarkStart w:id="20" w:name="section_011"/>
      <w:pPr>
        <w:pStyle w:val="Heading2"/>
      </w:pPr>
      <w:r>
        <w:t>Purpose and learning objective</w:t>
      </w:r>
      <w:bookmarkEnd w:id="20"/>
    </w:p>
    <w:p>
      <w:pPr>
        <w:spacing w:before="0" w:after="120" w:line="300" w:lineRule="auto"/>
      </w:pPr>
      <w:r>
        <w:rPr>
          <w:rFonts w:ascii="Calibri" w:hAnsi="Calibri"/>
          <w:color w:val="000000"/>
          <w:sz w:val="22"/>
        </w:rPr>
        <w:t>The aim is not merely to recognize the abbreviations CAA, WMH, CMB, or STRIVE. The aim is to be able to reason from anatomy to vessel-wall pathology, from vessel-wall pathology to tissue injury, from tissue injury to imaging, and from imaging to a diagnosis without confusing any one layer for another.</w:t>
      </w:r>
    </w:p>
    <w:p>
      <w:pPr>
        <w:spacing w:before="0" w:after="120" w:line="300" w:lineRule="auto"/>
      </w:pPr>
      <w:r>
        <w:rPr>
          <w:rFonts w:ascii="Calibri" w:hAnsi="Calibri"/>
          <w:color w:val="000000"/>
          <w:sz w:val="22"/>
        </w:rPr>
        <w:t xml:space="preserve">The central discipline of this field is </w:t>
      </w:r>
      <w:r>
        <w:rPr>
          <w:rFonts w:ascii="Calibri" w:hAnsi="Calibri"/>
          <w:b/>
          <w:color w:val="000000"/>
          <w:sz w:val="22"/>
        </w:rPr>
        <w:t>inference across scale</w:t>
      </w:r>
      <w:r>
        <w:rPr>
          <w:rFonts w:ascii="Calibri" w:hAnsi="Calibri"/>
          <w:color w:val="000000"/>
          <w:sz w:val="22"/>
        </w:rPr>
        <w:t>:</w:t>
      </w:r>
    </w:p>
    <w:p>
      <w:pPr>
        <w:spacing w:before="0" w:after="120" w:line="300" w:lineRule="auto"/>
      </w:pPr>
      <w:r>
        <w:rPr>
          <w:rFonts w:ascii="Calibri" w:hAnsi="Calibri"/>
          <w:b/>
          <w:color w:val="000000"/>
          <w:sz w:val="22"/>
        </w:rPr>
        <w:t>Causal chain:</w:t>
      </w:r>
      <w:r>
        <w:rPr>
          <w:rFonts w:ascii="Calibri" w:hAnsi="Calibri"/>
          <w:color w:val="000000"/>
          <w:sz w:val="22"/>
        </w:rPr>
        <w:t xml:space="preserve"> Risk and susceptibility → small-vessel wall and neurovascular-unit change → physiological dysfunction → microscopic tissue injury → visible MRI or CT markers → clinical syndromes and disability. The arrows are not one-to-one: imaging has incomplete etiologic specificity and imperfect sensitivity to microscopic injury.</w:t>
      </w:r>
    </w:p>
    <w:p>
      <w:pPr>
        <w:spacing w:before="0" w:after="120" w:line="300" w:lineRule="auto"/>
      </w:pPr>
      <w:r>
        <w:rPr>
          <w:rFonts w:ascii="Calibri" w:hAnsi="Calibri"/>
          <w:color w:val="000000"/>
          <w:sz w:val="22"/>
        </w:rPr>
        <w:t>A visible lesion is therefore an informative footprint, not a transparent photograph of the causal vessel pathology.</w:t>
      </w:r>
    </w:p>
    <w:p>
      <w:bookmarkStart w:id="21" w:name="section_012"/>
      <w:pPr>
        <w:pStyle w:val="Heading2"/>
      </w:pPr>
      <w:r>
        <w:t>1. What counts as cerebral small vessel disease?</w:t>
      </w:r>
      <w:bookmarkEnd w:id="21"/>
    </w:p>
    <w:p>
      <w:pPr>
        <w:spacing w:before="0" w:after="120" w:line="300" w:lineRule="auto"/>
      </w:pPr>
      <w:r>
        <w:rPr>
          <w:rFonts w:ascii="Calibri" w:hAnsi="Calibri"/>
          <w:color w:val="000000"/>
          <w:sz w:val="22"/>
        </w:rPr>
        <w:t>"Cerebral small vessel disease" (cSVD) is an umbrella term for disorders affecting small arteries, arterioles, capillaries, and venules of the brain. Many of these vessels are below the resolution of routine clinical imaging. Their presence is inferred from downstream lesions, functional measurements, or tissue examination.</w:t>
      </w:r>
    </w:p>
    <w:p>
      <w:pPr>
        <w:spacing w:before="0" w:after="120" w:line="300" w:lineRule="auto"/>
      </w:pPr>
      <w:r>
        <w:rPr>
          <w:rFonts w:ascii="Calibri" w:hAnsi="Calibri"/>
          <w:color w:val="000000"/>
          <w:sz w:val="22"/>
        </w:rPr>
        <w:t>The two most common age-related vessel-wall pathologies are:</w:t>
      </w:r>
    </w:p>
    <w:p>
      <w:pPr>
        <w:numPr>
          <w:ilvl w:val="0"/>
          <w:numId w:val="10"/>
        </w:numPr>
        <w:spacing w:before="0" w:after="80" w:line="300" w:lineRule="auto"/>
      </w:pPr>
      <w:r>
        <w:rPr>
          <w:rFonts w:ascii="Calibri" w:hAnsi="Calibri"/>
          <w:b/>
          <w:color w:val="000000"/>
          <w:sz w:val="22"/>
        </w:rPr>
        <w:t>Non-amyloid arteriolosclerosis:</w:t>
      </w:r>
      <w:r>
        <w:rPr>
          <w:rFonts w:ascii="Calibri" w:hAnsi="Calibri"/>
          <w:color w:val="000000"/>
          <w:sz w:val="22"/>
        </w:rPr>
        <w:t xml:space="preserve"> thickening, stiffening, and remodeling of small penetrating vessels, especially in deep brain and white matter territories. It is associated with age, hypertension, diabetes, and other metabolic or vascular exposures, but these associations are neither exclusive nor sufficient.</w:t>
      </w:r>
    </w:p>
    <w:p>
      <w:pPr>
        <w:numPr>
          <w:ilvl w:val="0"/>
          <w:numId w:val="10"/>
        </w:numPr>
        <w:spacing w:before="0" w:after="80" w:line="300" w:lineRule="auto"/>
      </w:pPr>
      <w:r>
        <w:rPr>
          <w:rFonts w:ascii="Calibri" w:hAnsi="Calibri"/>
          <w:b/>
          <w:color w:val="000000"/>
          <w:sz w:val="22"/>
        </w:rPr>
        <w:t>Cerebral amyloid angiopathy:</w:t>
      </w:r>
      <w:r>
        <w:rPr>
          <w:rFonts w:ascii="Calibri" w:hAnsi="Calibri"/>
          <w:color w:val="000000"/>
          <w:sz w:val="22"/>
        </w:rPr>
        <w:t xml:space="preserve"> deposition of amyloid-beta, particularly Aβ40, in leptomeningeal and cortical vessel walls. Sporadic CAA rises sharply with age and commonly coexists with Alzheimer disease, but it is anatomically and biologically distinct from parenchymal amyloid plaques.</w:t>
      </w:r>
    </w:p>
    <w:p>
      <w:pPr>
        <w:spacing w:before="0" w:after="120" w:line="300" w:lineRule="auto"/>
      </w:pPr>
      <w:r>
        <w:rPr>
          <w:rFonts w:ascii="Calibri" w:hAnsi="Calibri"/>
          <w:color w:val="000000"/>
          <w:sz w:val="22"/>
        </w:rPr>
        <w:t>Other cSVDs include monogenic arteriopathies (for example NOTCH3-related CADASIL, HTRA1-related disease, and COL4A1/2 disorders), inflammatory small-vessel disease, immune-mediated CAA-related inflammation, radiation-related vasculopathy, venous collagenosis, and less common protein-deposition angiopathies. These are not peripheral curiosities: they reveal mechanisms and remind us that similar imaging phenotypes can arise from different causes.</w:t>
      </w:r>
    </w:p>
    <w:p>
      <w:pPr>
        <w:keepNext/>
        <w:spacing w:before="160" w:after="80"/>
      </w:pPr>
      <w:r>
        <w:rPr>
          <w:rFonts w:ascii="Calibri" w:hAnsi="Calibri"/>
          <w:b/>
          <w:color w:val="1F4D78"/>
          <w:sz w:val="22"/>
        </w:rPr>
        <w:t>A vocabulary trap</w:t>
      </w:r>
    </w:p>
    <w:p>
      <w:pPr>
        <w:spacing w:before="0" w:after="120" w:line="300" w:lineRule="auto"/>
      </w:pPr>
      <w:r>
        <w:rPr>
          <w:rFonts w:ascii="Calibri" w:hAnsi="Calibri"/>
          <w:color w:val="000000"/>
          <w:sz w:val="22"/>
        </w:rPr>
        <w:t xml:space="preserve">"Arteriosclerosis" means hardening/remodeling of arteries broadly. "Atherosclerosis" is an intimal lipid-rich plaque disease of larger arteries. "Arteriolosclerosis" concerns arterioles. "Lipohyalinosis" and "fibrinoid necrosis" describe particular histologic patterns, not universal synonyms for every non-amyloid cSVD lesion. In brain aging literature, </w:t>
      </w:r>
      <w:r>
        <w:rPr>
          <w:rFonts w:ascii="Calibri" w:hAnsi="Calibri"/>
          <w:b/>
          <w:color w:val="000000"/>
          <w:sz w:val="22"/>
        </w:rPr>
        <w:t>brain arteriolosclerosis (B-ASC)</w:t>
      </w:r>
      <w:r>
        <w:rPr>
          <w:rFonts w:ascii="Calibri" w:hAnsi="Calibri"/>
          <w:color w:val="000000"/>
          <w:sz w:val="22"/>
        </w:rPr>
        <w:t xml:space="preserve"> is often the preferred pathology label, but definitions and sampling protocols still vary.</w:t>
      </w:r>
    </w:p>
    <w:p>
      <w:bookmarkStart w:id="22" w:name="section_013"/>
      <w:pPr>
        <w:pStyle w:val="Heading2"/>
      </w:pPr>
      <w:r>
        <w:t>2. Anatomy: the route from surface artery to tissue</w:t>
      </w:r>
      <w:bookmarkEnd w:id="22"/>
    </w:p>
    <w:p>
      <w:pPr>
        <w:spacing w:before="0" w:after="120" w:line="300" w:lineRule="auto"/>
      </w:pPr>
      <w:r>
        <w:rPr>
          <w:rFonts w:ascii="Calibri" w:hAnsi="Calibri"/>
          <w:color w:val="000000"/>
          <w:sz w:val="22"/>
        </w:rPr>
        <w:t>Pial arteries travel along the brain surface. Penetrating arterioles enter the cortex and deep structures, branch into precapillary arterioles and capillaries, and drain through venules. Unlike many systemic vascular beds, the brain operates inside a rigid skull, requires continuous high-energy supply, and has tight barrier and flow regulation.</w:t>
      </w:r>
    </w:p>
    <w:p>
      <w:pPr>
        <w:spacing w:before="0" w:after="120" w:line="300" w:lineRule="auto"/>
      </w:pPr>
      <w:r>
        <w:rPr>
          <w:rFonts w:ascii="Calibri" w:hAnsi="Calibri"/>
          <w:color w:val="000000"/>
          <w:sz w:val="22"/>
        </w:rPr>
        <w:t xml:space="preserve">The </w:t>
      </w:r>
      <w:r>
        <w:rPr>
          <w:rFonts w:ascii="Calibri" w:hAnsi="Calibri"/>
          <w:b/>
          <w:color w:val="000000"/>
          <w:sz w:val="22"/>
        </w:rPr>
        <w:t>neurovascular unit</w:t>
      </w:r>
      <w:r>
        <w:rPr>
          <w:rFonts w:ascii="Calibri" w:hAnsi="Calibri"/>
          <w:color w:val="000000"/>
          <w:sz w:val="22"/>
        </w:rPr>
        <w:t xml:space="preserve"> includes endothelial cells, basement membrane, pericytes, vascular smooth-muscle cells, astrocytic endfeet, neurons, microglia, extracellular matrix, and perivascular immune cells. The </w:t>
      </w:r>
      <w:r>
        <w:rPr>
          <w:rFonts w:ascii="Calibri" w:hAnsi="Calibri"/>
          <w:b/>
          <w:color w:val="000000"/>
          <w:sz w:val="22"/>
        </w:rPr>
        <w:t>cerebral arteriolar vascular unit</w:t>
      </w:r>
      <w:r>
        <w:rPr>
          <w:rFonts w:ascii="Calibri" w:hAnsi="Calibri"/>
          <w:color w:val="000000"/>
          <w:sz w:val="22"/>
        </w:rPr>
        <w:t xml:space="preserve"> emphasizes the same coordinated system around arterioles. Injury to one component can alter flow, barrier integrity, immune signaling, or waste clearance in the others.</w:t>
      </w:r>
    </w:p>
    <w:p>
      <w:pPr>
        <w:keepNext/>
        <w:spacing w:before="160" w:after="80"/>
      </w:pPr>
      <w:r>
        <w:rPr>
          <w:rFonts w:ascii="Calibri" w:hAnsi="Calibri"/>
          <w:b/>
          <w:color w:val="1F4D78"/>
          <w:sz w:val="22"/>
        </w:rPr>
        <w:t>Four functions to keep separate</w:t>
      </w:r>
    </w:p>
    <w:p>
      <w:pPr>
        <w:numPr>
          <w:ilvl w:val="0"/>
          <w:numId w:val="12"/>
        </w:numPr>
        <w:spacing w:before="0" w:after="80" w:line="300" w:lineRule="auto"/>
      </w:pPr>
      <w:r>
        <w:rPr>
          <w:rFonts w:ascii="Calibri" w:hAnsi="Calibri"/>
          <w:b/>
          <w:color w:val="000000"/>
          <w:sz w:val="22"/>
        </w:rPr>
        <w:t>Delivery:</w:t>
      </w:r>
      <w:r>
        <w:rPr>
          <w:rFonts w:ascii="Calibri" w:hAnsi="Calibri"/>
          <w:color w:val="000000"/>
          <w:sz w:val="22"/>
        </w:rPr>
        <w:t xml:space="preserve"> oxygen and substrate reach tissue through blood flow.</w:t>
      </w:r>
    </w:p>
    <w:p>
      <w:pPr>
        <w:numPr>
          <w:ilvl w:val="0"/>
          <w:numId w:val="12"/>
        </w:numPr>
        <w:spacing w:before="0" w:after="80" w:line="300" w:lineRule="auto"/>
      </w:pPr>
      <w:r>
        <w:rPr>
          <w:rFonts w:ascii="Calibri" w:hAnsi="Calibri"/>
          <w:b/>
          <w:color w:val="000000"/>
          <w:sz w:val="22"/>
        </w:rPr>
        <w:t>Autoregulation and reactivity:</w:t>
      </w:r>
      <w:r>
        <w:rPr>
          <w:rFonts w:ascii="Calibri" w:hAnsi="Calibri"/>
          <w:color w:val="000000"/>
          <w:sz w:val="22"/>
        </w:rPr>
        <w:t xml:space="preserve"> vascular tone adjusts to blood pressure, carbon dioxide, neural activity, and metabolic demand.</w:t>
      </w:r>
    </w:p>
    <w:p>
      <w:pPr>
        <w:numPr>
          <w:ilvl w:val="0"/>
          <w:numId w:val="12"/>
        </w:numPr>
        <w:spacing w:before="0" w:after="80" w:line="300" w:lineRule="auto"/>
      </w:pPr>
      <w:r>
        <w:rPr>
          <w:rFonts w:ascii="Calibri" w:hAnsi="Calibri"/>
          <w:b/>
          <w:color w:val="000000"/>
          <w:sz w:val="22"/>
        </w:rPr>
        <w:t>Barrier function:</w:t>
      </w:r>
      <w:r>
        <w:rPr>
          <w:rFonts w:ascii="Calibri" w:hAnsi="Calibri"/>
          <w:color w:val="000000"/>
          <w:sz w:val="22"/>
        </w:rPr>
        <w:t xml:space="preserve"> endothelial junctions and associated cells restrict uncontrolled movement between blood and brain.</w:t>
      </w:r>
    </w:p>
    <w:p>
      <w:pPr>
        <w:numPr>
          <w:ilvl w:val="0"/>
          <w:numId w:val="12"/>
        </w:numPr>
        <w:spacing w:before="0" w:after="80" w:line="300" w:lineRule="auto"/>
      </w:pPr>
      <w:r>
        <w:rPr>
          <w:rFonts w:ascii="Calibri" w:hAnsi="Calibri"/>
          <w:b/>
          <w:color w:val="000000"/>
          <w:sz w:val="22"/>
        </w:rPr>
        <w:t>Fluid and solute clearance:</w:t>
      </w:r>
      <w:r>
        <w:rPr>
          <w:rFonts w:ascii="Calibri" w:hAnsi="Calibri"/>
          <w:color w:val="000000"/>
          <w:sz w:val="22"/>
        </w:rPr>
        <w:t xml:space="preserve"> interstitial and cerebrospinal fluids exchange and drain along perivascular routes. Competing or complementary models include intramural periarterial drainage (IPAD), glymphatic flow, diffusion, dispersion, and lymphatic outflow.</w:t>
      </w:r>
    </w:p>
    <w:p>
      <w:pPr>
        <w:spacing w:before="0" w:after="120" w:line="300" w:lineRule="auto"/>
      </w:pPr>
      <w:r>
        <w:rPr>
          <w:rFonts w:ascii="Calibri" w:hAnsi="Calibri"/>
          <w:color w:val="000000"/>
          <w:sz w:val="22"/>
        </w:rPr>
        <w:t>The direction, driving forces, and relative contributions of these clearance routes in humans remain debated. Enlarged MRI-visible perivascular spaces do not directly measure flow.</w:t>
      </w:r>
    </w:p>
    <w:p>
      <w:bookmarkStart w:id="23" w:name="section_014"/>
      <w:pPr>
        <w:pStyle w:val="Heading2"/>
      </w:pPr>
      <w:r>
        <w:t>3. Brain arteriolosclerosis</w:t>
      </w:r>
      <w:bookmarkEnd w:id="23"/>
    </w:p>
    <w:p>
      <w:pPr>
        <w:keepNext/>
        <w:spacing w:before="160" w:after="80"/>
      </w:pPr>
      <w:r>
        <w:rPr>
          <w:rFonts w:ascii="Calibri" w:hAnsi="Calibri"/>
          <w:b/>
          <w:color w:val="1F4D78"/>
          <w:sz w:val="22"/>
        </w:rPr>
        <w:t>Pathology</w:t>
      </w:r>
    </w:p>
    <w:p>
      <w:pPr>
        <w:spacing w:before="0" w:after="120" w:line="300" w:lineRule="auto"/>
      </w:pPr>
      <w:r>
        <w:rPr>
          <w:rFonts w:ascii="Calibri" w:hAnsi="Calibri"/>
          <w:color w:val="000000"/>
          <w:sz w:val="22"/>
        </w:rPr>
        <w:t xml:space="preserve">B-ASC is commonly recognized as hyaline, relatively acellular wall thickening with loss or degeneration of smooth-muscle elements and narrowing or distortion of the lumen in small vessels. Semiquantitative neuropathology scales commonly range from none to severe. Quantitative approaches include a </w:t>
      </w:r>
      <w:r>
        <w:rPr>
          <w:rFonts w:ascii="Calibri" w:hAnsi="Calibri"/>
          <w:b/>
          <w:color w:val="000000"/>
          <w:sz w:val="22"/>
        </w:rPr>
        <w:t>sclerotic index</w:t>
      </w:r>
      <w:r>
        <w:rPr>
          <w:rFonts w:ascii="Calibri" w:hAnsi="Calibri"/>
          <w:color w:val="000000"/>
          <w:sz w:val="22"/>
        </w:rPr>
        <w:t xml:space="preserve">, often written as </w:t>
      </w:r>
      <w:r>
        <w:rPr>
          <w:rFonts w:ascii="Menlo" w:hAnsi="Menlo"/>
          <w:color w:val="1F4D78"/>
          <w:sz w:val="21"/>
        </w:rPr>
        <w:t>1 - (internal diameter / external diameter)</w:t>
      </w:r>
      <w:r>
        <w:rPr>
          <w:rFonts w:ascii="Calibri" w:hAnsi="Calibri"/>
          <w:color w:val="000000"/>
          <w:sz w:val="22"/>
        </w:rPr>
        <w:t>, but section angle, tissue processing, vessel selection, region, and collapsing of the lumen can bias measurement.</w:t>
      </w:r>
    </w:p>
    <w:p>
      <w:pPr>
        <w:spacing w:before="0" w:after="120" w:line="300" w:lineRule="auto"/>
      </w:pPr>
      <w:r>
        <w:rPr>
          <w:rFonts w:ascii="Calibri" w:hAnsi="Calibri"/>
          <w:color w:val="000000"/>
          <w:sz w:val="22"/>
        </w:rPr>
        <w:t>The 2021 Blevins review is essential because it makes three points that are easy to miss:</w:t>
      </w:r>
    </w:p>
    <w:p>
      <w:pPr>
        <w:numPr>
          <w:ilvl w:val="0"/>
          <w:numId w:val="10"/>
        </w:numPr>
        <w:spacing w:before="0" w:after="80" w:line="300" w:lineRule="auto"/>
      </w:pPr>
      <w:r>
        <w:rPr>
          <w:rFonts w:ascii="Calibri" w:hAnsi="Calibri"/>
          <w:color w:val="000000"/>
          <w:sz w:val="22"/>
        </w:rPr>
        <w:t>B-ASC is extremely common in the oldest-old yet understudied.</w:t>
      </w:r>
    </w:p>
    <w:p>
      <w:pPr>
        <w:numPr>
          <w:ilvl w:val="0"/>
          <w:numId w:val="10"/>
        </w:numPr>
        <w:spacing w:before="0" w:after="80" w:line="300" w:lineRule="auto"/>
      </w:pPr>
      <w:r>
        <w:rPr>
          <w:rFonts w:ascii="Calibri" w:hAnsi="Calibri"/>
          <w:color w:val="000000"/>
          <w:sz w:val="22"/>
        </w:rPr>
        <w:t>There is no single universally applied diagnostic and sampling method.</w:t>
      </w:r>
    </w:p>
    <w:p>
      <w:pPr>
        <w:numPr>
          <w:ilvl w:val="0"/>
          <w:numId w:val="10"/>
        </w:numPr>
        <w:spacing w:before="0" w:after="80" w:line="300" w:lineRule="auto"/>
      </w:pPr>
      <w:r>
        <w:rPr>
          <w:rFonts w:ascii="Calibri" w:hAnsi="Calibri"/>
          <w:color w:val="000000"/>
          <w:sz w:val="22"/>
        </w:rPr>
        <w:t>The label may contain biologically different subtypes rather than one homogeneous disease.</w:t>
      </w:r>
    </w:p>
    <w:p>
      <w:pPr>
        <w:keepNext/>
        <w:spacing w:before="160" w:after="80"/>
      </w:pPr>
      <w:r>
        <w:rPr>
          <w:rFonts w:ascii="Calibri" w:hAnsi="Calibri"/>
          <w:b/>
          <w:color w:val="1F4D78"/>
          <w:sz w:val="22"/>
        </w:rPr>
        <w:t>Candidate causal pathways</w:t>
      </w:r>
    </w:p>
    <w:p>
      <w:pPr>
        <w:numPr>
          <w:ilvl w:val="0"/>
          <w:numId w:val="10"/>
        </w:numPr>
        <w:spacing w:before="0" w:after="80" w:line="300" w:lineRule="auto"/>
      </w:pPr>
      <w:r>
        <w:rPr>
          <w:rFonts w:ascii="Calibri" w:hAnsi="Calibri"/>
          <w:color w:val="000000"/>
          <w:sz w:val="22"/>
        </w:rPr>
        <w:t>chronic pressure and pulsatility stress transmitted to penetrating vessels;</w:t>
      </w:r>
    </w:p>
    <w:p>
      <w:pPr>
        <w:numPr>
          <w:ilvl w:val="0"/>
          <w:numId w:val="10"/>
        </w:numPr>
        <w:spacing w:before="0" w:after="80" w:line="300" w:lineRule="auto"/>
      </w:pPr>
      <w:r>
        <w:rPr>
          <w:rFonts w:ascii="Calibri" w:hAnsi="Calibri"/>
          <w:color w:val="000000"/>
          <w:sz w:val="22"/>
        </w:rPr>
        <w:t>endothelial dysfunction and blood-brain barrier leakage;</w:t>
      </w:r>
    </w:p>
    <w:p>
      <w:pPr>
        <w:numPr>
          <w:ilvl w:val="0"/>
          <w:numId w:val="10"/>
        </w:numPr>
        <w:spacing w:before="0" w:after="80" w:line="300" w:lineRule="auto"/>
      </w:pPr>
      <w:r>
        <w:rPr>
          <w:rFonts w:ascii="Calibri" w:hAnsi="Calibri"/>
          <w:color w:val="000000"/>
          <w:sz w:val="22"/>
        </w:rPr>
        <w:t>smooth-muscle and pericyte injury;</w:t>
      </w:r>
    </w:p>
    <w:p>
      <w:pPr>
        <w:numPr>
          <w:ilvl w:val="0"/>
          <w:numId w:val="10"/>
        </w:numPr>
        <w:spacing w:before="0" w:after="80" w:line="300" w:lineRule="auto"/>
      </w:pPr>
      <w:r>
        <w:rPr>
          <w:rFonts w:ascii="Calibri" w:hAnsi="Calibri"/>
          <w:color w:val="000000"/>
          <w:sz w:val="22"/>
        </w:rPr>
        <w:t>extracellular-matrix remodeling and fibrosis;</w:t>
      </w:r>
    </w:p>
    <w:p>
      <w:pPr>
        <w:numPr>
          <w:ilvl w:val="0"/>
          <w:numId w:val="10"/>
        </w:numPr>
        <w:spacing w:before="0" w:after="80" w:line="300" w:lineRule="auto"/>
      </w:pPr>
      <w:r>
        <w:rPr>
          <w:rFonts w:ascii="Calibri" w:hAnsi="Calibri"/>
          <w:color w:val="000000"/>
          <w:sz w:val="22"/>
        </w:rPr>
        <w:t>impaired autoregulation and cerebrovascular reactivity;</w:t>
      </w:r>
    </w:p>
    <w:p>
      <w:pPr>
        <w:numPr>
          <w:ilvl w:val="0"/>
          <w:numId w:val="10"/>
        </w:numPr>
        <w:spacing w:before="0" w:after="80" w:line="300" w:lineRule="auto"/>
      </w:pPr>
      <w:r>
        <w:rPr>
          <w:rFonts w:ascii="Calibri" w:hAnsi="Calibri"/>
          <w:color w:val="000000"/>
          <w:sz w:val="22"/>
        </w:rPr>
        <w:t>hypoperfusion or unstable perfusion;</w:t>
      </w:r>
    </w:p>
    <w:p>
      <w:pPr>
        <w:numPr>
          <w:ilvl w:val="0"/>
          <w:numId w:val="10"/>
        </w:numPr>
        <w:spacing w:before="0" w:after="80" w:line="300" w:lineRule="auto"/>
      </w:pPr>
      <w:r>
        <w:rPr>
          <w:rFonts w:ascii="Calibri" w:hAnsi="Calibri"/>
          <w:color w:val="000000"/>
          <w:sz w:val="22"/>
        </w:rPr>
        <w:t>inflammation, oxidative stress, metabolic dysfunction, and cellular senescence;</w:t>
      </w:r>
    </w:p>
    <w:p>
      <w:pPr>
        <w:numPr>
          <w:ilvl w:val="0"/>
          <w:numId w:val="10"/>
        </w:numPr>
        <w:spacing w:before="0" w:after="80" w:line="300" w:lineRule="auto"/>
      </w:pPr>
      <w:r>
        <w:rPr>
          <w:rFonts w:ascii="Calibri" w:hAnsi="Calibri"/>
          <w:color w:val="000000"/>
          <w:sz w:val="22"/>
        </w:rPr>
        <w:t>impaired perivascular fluid handling;</w:t>
      </w:r>
    </w:p>
    <w:p>
      <w:pPr>
        <w:numPr>
          <w:ilvl w:val="0"/>
          <w:numId w:val="10"/>
        </w:numPr>
        <w:spacing w:before="0" w:after="80" w:line="300" w:lineRule="auto"/>
      </w:pPr>
      <w:r>
        <w:rPr>
          <w:rFonts w:ascii="Calibri" w:hAnsi="Calibri"/>
          <w:color w:val="000000"/>
          <w:sz w:val="22"/>
        </w:rPr>
        <w:t>reciprocal interactions with autonomic regulation and systemic vascular disease.</w:t>
      </w:r>
    </w:p>
    <w:p>
      <w:pPr>
        <w:spacing w:before="0" w:after="120" w:line="300" w:lineRule="auto"/>
      </w:pPr>
      <w:r>
        <w:rPr>
          <w:rFonts w:ascii="Calibri" w:hAnsi="Calibri"/>
          <w:color w:val="000000"/>
          <w:sz w:val="22"/>
        </w:rPr>
        <w:t>These pathways can coexist. Hypertension may cause arteriolar remodeling, but arteriolar dysfunction could also impair central regulation of systemic physiology. Cross-sectional autopsy associations cannot establish that direction.</w:t>
      </w:r>
    </w:p>
    <w:p>
      <w:pPr>
        <w:keepNext/>
        <w:spacing w:before="160" w:after="80"/>
      </w:pPr>
      <w:r>
        <w:rPr>
          <w:rFonts w:ascii="Calibri" w:hAnsi="Calibri"/>
          <w:b/>
          <w:color w:val="1F4D78"/>
          <w:sz w:val="22"/>
        </w:rPr>
        <w:t>Expected injury pattern, with important exceptions</w:t>
      </w:r>
    </w:p>
    <w:p>
      <w:pPr>
        <w:spacing w:before="0" w:after="120" w:line="300" w:lineRule="auto"/>
      </w:pPr>
      <w:r>
        <w:rPr>
          <w:rFonts w:ascii="Calibri" w:hAnsi="Calibri"/>
          <w:color w:val="000000"/>
          <w:sz w:val="22"/>
        </w:rPr>
        <w:t>Because non-amyloid arteriopathy often involves deep penetrating vessels, it is associated with deep intracerebral hemorrhage, deep microbleeds, lacunes, white-matter injury, and small subcortical infarcts. However, the mapping is not exclusive. The Perosa et al. 2023 pathology study showed that arteriolosclerosis can underlie lobar microbleeds in cases falsely classified as CAA, especially when lesions were juxtacortical or in subcortical white matter rather than centered in the cortical ribbon.</w:t>
      </w:r>
    </w:p>
    <w:p>
      <w:pPr>
        <w:spacing w:before="0" w:after="120" w:line="300" w:lineRule="auto"/>
      </w:pPr>
      <w:r>
        <w:rPr>
          <w:rFonts w:ascii="Calibri" w:hAnsi="Calibri"/>
          <w:color w:val="000000"/>
          <w:sz w:val="22"/>
        </w:rPr>
        <w:t>That result does not invalidate Boston criteria. It demonstrates why a high-performing probabilistic rule is not equivalent to perfect lesion-level specificity.</w:t>
      </w:r>
    </w:p>
    <w:p>
      <w:bookmarkStart w:id="24" w:name="section_015"/>
      <w:pPr>
        <w:pStyle w:val="Heading2"/>
      </w:pPr>
      <w:r>
        <w:t>4. Cerebral amyloid angiopathy</w:t>
      </w:r>
      <w:bookmarkEnd w:id="24"/>
    </w:p>
    <w:p>
      <w:pPr>
        <w:keepNext/>
        <w:spacing w:before="160" w:after="80"/>
      </w:pPr>
      <w:r>
        <w:rPr>
          <w:rFonts w:ascii="Calibri" w:hAnsi="Calibri"/>
          <w:b/>
          <w:color w:val="1F4D78"/>
          <w:sz w:val="22"/>
        </w:rPr>
        <w:t>Pathology and distribution</w:t>
      </w:r>
    </w:p>
    <w:p>
      <w:pPr>
        <w:spacing w:before="0" w:after="120" w:line="300" w:lineRule="auto"/>
      </w:pPr>
      <w:r>
        <w:rPr>
          <w:rFonts w:ascii="Calibri" w:hAnsi="Calibri"/>
          <w:color w:val="000000"/>
          <w:sz w:val="22"/>
        </w:rPr>
        <w:t>CAA is defined by amyloid deposition in small vessels of the leptomeninges and cerebral cortex, with variable capillary involvement. Deep penetrating arterioles of basal ganglia, thalamus, and brainstem are generally spared in typical sporadic CAA. The vessel wall can progress from focal deposits around smooth-muscle cells to circumferential replacement, loss of wall elements, cracking or double-barrel change, fibrinoid remodeling, and rupture.</w:t>
      </w:r>
    </w:p>
    <w:p>
      <w:pPr>
        <w:spacing w:before="0" w:after="120" w:line="300" w:lineRule="auto"/>
      </w:pPr>
      <w:r>
        <w:rPr>
          <w:rFonts w:ascii="Calibri" w:hAnsi="Calibri"/>
          <w:color w:val="000000"/>
          <w:sz w:val="22"/>
        </w:rPr>
        <w:t>Two common neuropathologic patterns are often discussed:</w:t>
      </w:r>
    </w:p>
    <w:p>
      <w:pPr>
        <w:numPr>
          <w:ilvl w:val="0"/>
          <w:numId w:val="10"/>
        </w:numPr>
        <w:spacing w:before="0" w:after="80" w:line="300" w:lineRule="auto"/>
      </w:pPr>
      <w:r>
        <w:rPr>
          <w:rFonts w:ascii="Calibri" w:hAnsi="Calibri"/>
          <w:b/>
          <w:color w:val="000000"/>
          <w:sz w:val="22"/>
        </w:rPr>
        <w:t>CAA type 1:</w:t>
      </w:r>
      <w:r>
        <w:rPr>
          <w:rFonts w:ascii="Calibri" w:hAnsi="Calibri"/>
          <w:color w:val="000000"/>
          <w:sz w:val="22"/>
        </w:rPr>
        <w:t xml:space="preserve"> cortical capillary involvement is present; more strongly associated with APOE ε4 and Alzheimer disease-related biology.</w:t>
      </w:r>
    </w:p>
    <w:p>
      <w:pPr>
        <w:numPr>
          <w:ilvl w:val="0"/>
          <w:numId w:val="10"/>
        </w:numPr>
        <w:spacing w:before="0" w:after="80" w:line="300" w:lineRule="auto"/>
      </w:pPr>
      <w:r>
        <w:rPr>
          <w:rFonts w:ascii="Calibri" w:hAnsi="Calibri"/>
          <w:b/>
          <w:color w:val="000000"/>
          <w:sz w:val="22"/>
        </w:rPr>
        <w:t>CAA type 2:</w:t>
      </w:r>
      <w:r>
        <w:rPr>
          <w:rFonts w:ascii="Calibri" w:hAnsi="Calibri"/>
          <w:color w:val="000000"/>
          <w:sz w:val="22"/>
        </w:rPr>
        <w:t xml:space="preserve"> amyloid is present in leptomeningeal and cortical arteries/arterioles without capillary involvement.</w:t>
      </w:r>
    </w:p>
    <w:p>
      <w:pPr>
        <w:spacing w:before="0" w:after="120" w:line="300" w:lineRule="auto"/>
      </w:pPr>
      <w:r>
        <w:rPr>
          <w:rFonts w:ascii="Calibri" w:hAnsi="Calibri"/>
          <w:color w:val="000000"/>
          <w:sz w:val="22"/>
        </w:rPr>
        <w:t>Severity, distribution, and vasculopathic change matter. A binary CAA-present/absent label discards biologically important information.</w:t>
      </w:r>
    </w:p>
    <w:p>
      <w:pPr>
        <w:keepNext/>
        <w:spacing w:before="160" w:after="80"/>
      </w:pPr>
      <w:r>
        <w:rPr>
          <w:rFonts w:ascii="Calibri" w:hAnsi="Calibri"/>
          <w:b/>
          <w:color w:val="1F4D78"/>
          <w:sz w:val="22"/>
        </w:rPr>
        <w:t>Relationship to Alzheimer disease</w:t>
      </w:r>
    </w:p>
    <w:p>
      <w:pPr>
        <w:spacing w:before="0" w:after="120" w:line="300" w:lineRule="auto"/>
      </w:pPr>
      <w:r>
        <w:rPr>
          <w:rFonts w:ascii="Calibri" w:hAnsi="Calibri"/>
          <w:color w:val="000000"/>
          <w:sz w:val="22"/>
        </w:rPr>
        <w:t>CAA and Alzheimer disease frequently coexist because both involve Aβ, age, and APOE-related susceptibility. They are not interchangeable:</w:t>
      </w:r>
    </w:p>
    <w:p>
      <w:pPr>
        <w:numPr>
          <w:ilvl w:val="0"/>
          <w:numId w:val="10"/>
        </w:numPr>
        <w:spacing w:before="0" w:after="80" w:line="300" w:lineRule="auto"/>
      </w:pPr>
      <w:r>
        <w:rPr>
          <w:rFonts w:ascii="Calibri" w:hAnsi="Calibri"/>
          <w:color w:val="000000"/>
          <w:sz w:val="22"/>
        </w:rPr>
        <w:t>vascular deposits are relatively enriched for Aβ40, while plaques are relatively enriched for Aβ42;</w:t>
      </w:r>
    </w:p>
    <w:p>
      <w:pPr>
        <w:numPr>
          <w:ilvl w:val="0"/>
          <w:numId w:val="10"/>
        </w:numPr>
        <w:spacing w:before="0" w:after="80" w:line="300" w:lineRule="auto"/>
      </w:pPr>
      <w:r>
        <w:rPr>
          <w:rFonts w:ascii="Calibri" w:hAnsi="Calibri"/>
          <w:color w:val="000000"/>
          <w:sz w:val="22"/>
        </w:rPr>
        <w:t>CAA has a characteristic leptomeningeal/cortical vascular distribution;</w:t>
      </w:r>
    </w:p>
    <w:p>
      <w:pPr>
        <w:numPr>
          <w:ilvl w:val="0"/>
          <w:numId w:val="10"/>
        </w:numPr>
        <w:spacing w:before="0" w:after="80" w:line="300" w:lineRule="auto"/>
      </w:pPr>
      <w:r>
        <w:rPr>
          <w:rFonts w:ascii="Calibri" w:hAnsi="Calibri"/>
          <w:color w:val="000000"/>
          <w:sz w:val="22"/>
        </w:rPr>
        <w:t>CAA can occur without advanced Alzheimer disease, especially in hereditary forms;</w:t>
      </w:r>
    </w:p>
    <w:p>
      <w:pPr>
        <w:numPr>
          <w:ilvl w:val="0"/>
          <w:numId w:val="10"/>
        </w:numPr>
        <w:spacing w:before="0" w:after="80" w:line="300" w:lineRule="auto"/>
      </w:pPr>
      <w:r>
        <w:rPr>
          <w:rFonts w:ascii="Calibri" w:hAnsi="Calibri"/>
          <w:color w:val="000000"/>
          <w:sz w:val="22"/>
        </w:rPr>
        <w:t>Alzheimer disease can occur with little or no CAA;</w:t>
      </w:r>
    </w:p>
    <w:p>
      <w:pPr>
        <w:numPr>
          <w:ilvl w:val="0"/>
          <w:numId w:val="10"/>
        </w:numPr>
        <w:spacing w:before="0" w:after="80" w:line="300" w:lineRule="auto"/>
      </w:pPr>
      <w:r>
        <w:rPr>
          <w:rFonts w:ascii="Calibri" w:hAnsi="Calibri"/>
          <w:color w:val="000000"/>
          <w:sz w:val="22"/>
        </w:rPr>
        <w:t>cognitive effects can be additive or interactive through infarction, disconnection, impaired vascular reactivity, inflammation, and hemorrhage.</w:t>
      </w:r>
    </w:p>
    <w:p>
      <w:pPr>
        <w:spacing w:before="0" w:after="120" w:line="300" w:lineRule="auto"/>
      </w:pPr>
      <w:r>
        <w:rPr>
          <w:rFonts w:ascii="Calibri" w:hAnsi="Calibri"/>
          <w:color w:val="000000"/>
          <w:sz w:val="22"/>
        </w:rPr>
        <w:t>Analyses that call all amyloid-related signal "Alzheimer pathology" erase this distinction.</w:t>
      </w:r>
    </w:p>
    <w:p>
      <w:pPr>
        <w:keepNext/>
        <w:spacing w:before="160" w:after="80"/>
      </w:pPr>
      <w:r>
        <w:rPr>
          <w:rFonts w:ascii="Calibri" w:hAnsi="Calibri"/>
          <w:b/>
          <w:color w:val="1F4D78"/>
          <w:sz w:val="22"/>
        </w:rPr>
        <w:t>The four-stage progression framework</w:t>
      </w:r>
    </w:p>
    <w:p>
      <w:pPr>
        <w:spacing w:before="0" w:after="120" w:line="300" w:lineRule="auto"/>
      </w:pPr>
      <w:r>
        <w:rPr>
          <w:rFonts w:ascii="Calibri" w:hAnsi="Calibri"/>
          <w:color w:val="000000"/>
          <w:sz w:val="22"/>
        </w:rPr>
        <w:t>Koemans and colleagues proposed a useful, explicitly provisional sequence:</w:t>
      </w:r>
    </w:p>
    <w:p>
      <w:pPr>
        <w:numPr>
          <w:ilvl w:val="0"/>
          <w:numId w:val="13"/>
        </w:numPr>
        <w:spacing w:before="0" w:after="80" w:line="300" w:lineRule="auto"/>
      </w:pPr>
      <w:r>
        <w:rPr>
          <w:rFonts w:ascii="Calibri" w:hAnsi="Calibri"/>
          <w:b/>
          <w:color w:val="000000"/>
          <w:sz w:val="22"/>
        </w:rPr>
        <w:t>Initial vascular amyloid deposition.</w:t>
      </w:r>
      <w:r>
        <w:rPr>
          <w:rFonts w:ascii="Calibri" w:hAnsi="Calibri"/>
          <w:color w:val="000000"/>
          <w:sz w:val="22"/>
        </w:rPr>
        <w:t xml:space="preserve"> Soluble Aβ handling and vascular deposition change before overt tissue injury.</w:t>
      </w:r>
    </w:p>
    <w:p>
      <w:pPr>
        <w:numPr>
          <w:ilvl w:val="0"/>
          <w:numId w:val="13"/>
        </w:numPr>
        <w:spacing w:before="0" w:after="80" w:line="300" w:lineRule="auto"/>
      </w:pPr>
      <w:r>
        <w:rPr>
          <w:rFonts w:ascii="Calibri" w:hAnsi="Calibri"/>
          <w:b/>
          <w:color w:val="000000"/>
          <w:sz w:val="22"/>
        </w:rPr>
        <w:t>Altered vascular physiology.</w:t>
      </w:r>
      <w:r>
        <w:rPr>
          <w:rFonts w:ascii="Calibri" w:hAnsi="Calibri"/>
          <w:color w:val="000000"/>
          <w:sz w:val="22"/>
        </w:rPr>
        <w:t xml:space="preserve"> Reactivity, pulsatility, barrier function, and clearance become abnormal.</w:t>
      </w:r>
    </w:p>
    <w:p>
      <w:pPr>
        <w:numPr>
          <w:ilvl w:val="0"/>
          <w:numId w:val="13"/>
        </w:numPr>
        <w:spacing w:before="0" w:after="80" w:line="300" w:lineRule="auto"/>
      </w:pPr>
      <w:r>
        <w:rPr>
          <w:rFonts w:ascii="Calibri" w:hAnsi="Calibri"/>
          <w:b/>
          <w:color w:val="000000"/>
          <w:sz w:val="22"/>
        </w:rPr>
        <w:t>Non-hemorrhagic brain injury.</w:t>
      </w:r>
      <w:r>
        <w:rPr>
          <w:rFonts w:ascii="Calibri" w:hAnsi="Calibri"/>
          <w:color w:val="000000"/>
          <w:sz w:val="22"/>
        </w:rPr>
        <w:t xml:space="preserve"> White-matter microstructural damage, cortical microinfarcts, network disconnection, and cognitive effects emerge.</w:t>
      </w:r>
    </w:p>
    <w:p>
      <w:pPr>
        <w:numPr>
          <w:ilvl w:val="0"/>
          <w:numId w:val="13"/>
        </w:numPr>
        <w:spacing w:before="0" w:after="80" w:line="300" w:lineRule="auto"/>
      </w:pPr>
      <w:r>
        <w:rPr>
          <w:rFonts w:ascii="Calibri" w:hAnsi="Calibri"/>
          <w:b/>
          <w:color w:val="000000"/>
          <w:sz w:val="22"/>
        </w:rPr>
        <w:t>Hemorrhagic lesions.</w:t>
      </w:r>
      <w:r>
        <w:rPr>
          <w:rFonts w:ascii="Calibri" w:hAnsi="Calibri"/>
          <w:color w:val="000000"/>
          <w:sz w:val="22"/>
        </w:rPr>
        <w:t xml:space="preserve"> Lobar microbleeds, convexity subarachnoid hemorrhage, cortical superficial siderosis, and lobar intracerebral hemorrhage appear.</w:t>
      </w:r>
    </w:p>
    <w:p>
      <w:pPr>
        <w:spacing w:before="0" w:after="120" w:line="300" w:lineRule="auto"/>
      </w:pPr>
      <w:r>
        <w:rPr>
          <w:rFonts w:ascii="Calibri" w:hAnsi="Calibri"/>
          <w:color w:val="000000"/>
          <w:sz w:val="22"/>
        </w:rPr>
        <w:t>Hereditary Dutch-type CAA data suggest that this evolution may span decades. The framework is valuable because it predicts a long prehemorrhagic intervention window. It remains a model, not a proven invariant sequence for every sporadic case.</w:t>
      </w:r>
    </w:p>
    <w:p>
      <w:pPr>
        <w:keepNext/>
        <w:spacing w:before="160" w:after="80"/>
      </w:pPr>
      <w:r>
        <w:rPr>
          <w:rFonts w:ascii="Calibri" w:hAnsi="Calibri"/>
          <w:b/>
          <w:color w:val="1F4D78"/>
          <w:sz w:val="22"/>
        </w:rPr>
        <w:t>How a CAA vessel may rupture</w:t>
      </w:r>
    </w:p>
    <w:p>
      <w:pPr>
        <w:spacing w:before="0" w:after="120" w:line="300" w:lineRule="auto"/>
      </w:pPr>
      <w:r>
        <w:rPr>
          <w:rFonts w:ascii="Calibri" w:hAnsi="Calibri"/>
          <w:color w:val="000000"/>
          <w:sz w:val="22"/>
        </w:rPr>
        <w:t>The intuitive model is simple mechanical weakening by accumulating amyloid. Human ex vivo MRI-pathology work adds a more dynamic possibility: the final rupture site can contain little detectable amyloid and show fibrinoid remodeling, leakage, smooth-muscle loss, astrocytic and microglial activation, and perivascular inflammation. One interpretation is that amyloid initiates injury, followed by local remodeling or clearance that leaves a structurally fragile segment. This is supported by small, carefully localized pathology studies but is not yet a complete causal account.</w:t>
      </w:r>
    </w:p>
    <w:p>
      <w:bookmarkStart w:id="25" w:name="section_016"/>
      <w:pPr>
        <w:pStyle w:val="Heading2"/>
      </w:pPr>
      <w:r>
        <w:t>5. Perivascular clearance: one of the field's central debates</w:t>
      </w:r>
      <w:bookmarkEnd w:id="25"/>
    </w:p>
    <w:p>
      <w:pPr>
        <w:spacing w:before="0" w:after="120" w:line="300" w:lineRule="auto"/>
      </w:pPr>
      <w:r>
        <w:rPr>
          <w:rFonts w:ascii="Calibri" w:hAnsi="Calibri"/>
          <w:color w:val="000000"/>
          <w:sz w:val="22"/>
        </w:rPr>
        <w:t>Soluble Aβ is produced in brain tissue and must be cleared. A major hypothesis is that Aβ moves along basement membranes of capillaries and arteries toward extracranial drainage pathways. Aging, stiffening, loss of smooth-muscle function, altered pulsatility, basement-membrane change, or obstruction by deposited Aβ could impair this clearance and create a feed-forward loop.</w:t>
      </w:r>
    </w:p>
    <w:p>
      <w:pPr>
        <w:spacing w:before="0" w:after="120" w:line="300" w:lineRule="auto"/>
      </w:pPr>
      <w:r>
        <w:rPr>
          <w:rFonts w:ascii="Calibri" w:hAnsi="Calibri"/>
          <w:color w:val="000000"/>
          <w:sz w:val="22"/>
        </w:rPr>
        <w:t>Evidence supporting the concept includes:</w:t>
      </w:r>
    </w:p>
    <w:p>
      <w:pPr>
        <w:numPr>
          <w:ilvl w:val="0"/>
          <w:numId w:val="10"/>
        </w:numPr>
        <w:spacing w:before="0" w:after="80" w:line="300" w:lineRule="auto"/>
      </w:pPr>
      <w:r>
        <w:rPr>
          <w:rFonts w:ascii="Calibri" w:hAnsi="Calibri"/>
          <w:color w:val="000000"/>
          <w:sz w:val="22"/>
        </w:rPr>
        <w:t>vascular anatomy and tracer studies in experimental systems;</w:t>
      </w:r>
    </w:p>
    <w:p>
      <w:pPr>
        <w:numPr>
          <w:ilvl w:val="0"/>
          <w:numId w:val="10"/>
        </w:numPr>
        <w:spacing w:before="0" w:after="80" w:line="300" w:lineRule="auto"/>
      </w:pPr>
      <w:r>
        <w:rPr>
          <w:rFonts w:ascii="Calibri" w:hAnsi="Calibri"/>
          <w:color w:val="000000"/>
          <w:sz w:val="22"/>
        </w:rPr>
        <w:t>preferential amyloid deposition along vessels and drainage-relevant compartments;</w:t>
      </w:r>
    </w:p>
    <w:p>
      <w:pPr>
        <w:numPr>
          <w:ilvl w:val="0"/>
          <w:numId w:val="10"/>
        </w:numPr>
        <w:spacing w:before="0" w:after="80" w:line="300" w:lineRule="auto"/>
      </w:pPr>
      <w:r>
        <w:rPr>
          <w:rFonts w:ascii="Calibri" w:hAnsi="Calibri"/>
          <w:color w:val="000000"/>
          <w:sz w:val="22"/>
        </w:rPr>
        <w:t>association between severe centrum semiovale perivascular spaces and CAA;</w:t>
      </w:r>
    </w:p>
    <w:p>
      <w:pPr>
        <w:numPr>
          <w:ilvl w:val="0"/>
          <w:numId w:val="10"/>
        </w:numPr>
        <w:spacing w:before="0" w:after="80" w:line="300" w:lineRule="auto"/>
      </w:pPr>
      <w:r>
        <w:rPr>
          <w:rFonts w:ascii="Calibri" w:hAnsi="Calibri"/>
          <w:color w:val="000000"/>
          <w:sz w:val="22"/>
        </w:rPr>
        <w:t>ex vivo work linking white-matter perivascular-space dilation to vascular Aβ in the overlying cortex;</w:t>
      </w:r>
    </w:p>
    <w:p>
      <w:pPr>
        <w:numPr>
          <w:ilvl w:val="0"/>
          <w:numId w:val="10"/>
        </w:numPr>
        <w:spacing w:before="0" w:after="80" w:line="300" w:lineRule="auto"/>
      </w:pPr>
      <w:r>
        <w:rPr>
          <w:rFonts w:ascii="Calibri" w:hAnsi="Calibri"/>
          <w:color w:val="000000"/>
          <w:sz w:val="22"/>
        </w:rPr>
        <w:t>hereditary CAA observations suggesting physiologic dysfunction before hemorrhage.</w:t>
      </w:r>
    </w:p>
    <w:p>
      <w:pPr>
        <w:spacing w:before="0" w:after="120" w:line="300" w:lineRule="auto"/>
      </w:pPr>
      <w:r>
        <w:rPr>
          <w:rFonts w:ascii="Calibri" w:hAnsi="Calibri"/>
          <w:color w:val="000000"/>
          <w:sz w:val="22"/>
        </w:rPr>
        <w:t>Important counterweights are:</w:t>
      </w:r>
    </w:p>
    <w:p>
      <w:pPr>
        <w:numPr>
          <w:ilvl w:val="0"/>
          <w:numId w:val="10"/>
        </w:numPr>
        <w:spacing w:before="0" w:after="80" w:line="300" w:lineRule="auto"/>
      </w:pPr>
      <w:r>
        <w:rPr>
          <w:rFonts w:ascii="Calibri" w:hAnsi="Calibri"/>
          <w:color w:val="000000"/>
          <w:sz w:val="22"/>
        </w:rPr>
        <w:t>rodents and humans differ in anatomy, scale, sleep, posture, heart rate, and experimental conditions;</w:t>
      </w:r>
    </w:p>
    <w:p>
      <w:pPr>
        <w:numPr>
          <w:ilvl w:val="0"/>
          <w:numId w:val="10"/>
        </w:numPr>
        <w:spacing w:before="0" w:after="80" w:line="300" w:lineRule="auto"/>
      </w:pPr>
      <w:r>
        <w:rPr>
          <w:rFonts w:ascii="Calibri" w:hAnsi="Calibri"/>
          <w:color w:val="000000"/>
          <w:sz w:val="22"/>
        </w:rPr>
        <w:t>fixation and postmortem intervals alter spaces and fluid distributions;</w:t>
      </w:r>
    </w:p>
    <w:p>
      <w:pPr>
        <w:numPr>
          <w:ilvl w:val="0"/>
          <w:numId w:val="10"/>
        </w:numPr>
        <w:spacing w:before="0" w:after="80" w:line="300" w:lineRule="auto"/>
      </w:pPr>
      <w:r>
        <w:rPr>
          <w:rFonts w:ascii="Calibri" w:hAnsi="Calibri"/>
          <w:color w:val="000000"/>
          <w:sz w:val="22"/>
        </w:rPr>
        <w:t>MRI-visible PVS are structural spaces, not direct measures of solute direction or speed;</w:t>
      </w:r>
    </w:p>
    <w:p>
      <w:pPr>
        <w:numPr>
          <w:ilvl w:val="0"/>
          <w:numId w:val="10"/>
        </w:numPr>
        <w:spacing w:before="0" w:after="80" w:line="300" w:lineRule="auto"/>
      </w:pPr>
      <w:r>
        <w:rPr>
          <w:rFonts w:ascii="Calibri" w:hAnsi="Calibri"/>
          <w:color w:val="000000"/>
          <w:sz w:val="22"/>
        </w:rPr>
        <w:t>IPAD, glymphatic, diffusion, dispersion, venous, and lymphatic models use overlapping terms but make different mechanistic claims;</w:t>
      </w:r>
    </w:p>
    <w:p>
      <w:pPr>
        <w:numPr>
          <w:ilvl w:val="0"/>
          <w:numId w:val="10"/>
        </w:numPr>
        <w:spacing w:before="0" w:after="80" w:line="300" w:lineRule="auto"/>
      </w:pPr>
      <w:r>
        <w:rPr>
          <w:rFonts w:ascii="Calibri" w:hAnsi="Calibri"/>
          <w:color w:val="000000"/>
          <w:sz w:val="22"/>
        </w:rPr>
        <w:t>amyloid deposition may itself enlarge spaces, reverse causality, or share an upstream cause with PVS dilation.</w:t>
      </w:r>
    </w:p>
    <w:p>
      <w:pPr>
        <w:spacing w:before="0" w:after="120" w:line="300" w:lineRule="auto"/>
      </w:pPr>
      <w:r>
        <w:rPr>
          <w:rFonts w:ascii="Calibri" w:hAnsi="Calibri"/>
          <w:color w:val="000000"/>
          <w:sz w:val="22"/>
        </w:rPr>
        <w:t>The best current position is not "CAA is proven to be a clearance disease." It is that impaired perivascular handling is a strong mechanistic candidate requiring human, directional, longitudinal validation.</w:t>
      </w:r>
    </w:p>
    <w:p>
      <w:bookmarkStart w:id="26" w:name="section_017"/>
      <w:pPr>
        <w:pStyle w:val="Heading2"/>
      </w:pPr>
      <w:r>
        <w:t>6. From vessel injury to visible brain injury</w:t>
      </w:r>
      <w:bookmarkEnd w:id="26"/>
    </w:p>
    <w:p>
      <w:pPr>
        <w:keepNext/>
        <w:spacing w:before="160" w:after="80"/>
      </w:pPr>
      <w:r>
        <w:rPr>
          <w:rFonts w:ascii="Calibri" w:hAnsi="Calibri"/>
          <w:b/>
          <w:color w:val="1F4D78"/>
          <w:sz w:val="22"/>
        </w:rPr>
        <w:t>Ischemic and non-hemorrhagic consequences</w:t>
      </w:r>
    </w:p>
    <w:p>
      <w:pPr>
        <w:numPr>
          <w:ilvl w:val="0"/>
          <w:numId w:val="10"/>
        </w:numPr>
        <w:spacing w:before="0" w:after="80" w:line="300" w:lineRule="auto"/>
      </w:pPr>
      <w:r>
        <w:rPr>
          <w:rFonts w:ascii="Calibri" w:hAnsi="Calibri"/>
          <w:b/>
          <w:color w:val="000000"/>
          <w:sz w:val="22"/>
        </w:rPr>
        <w:t>Recent small subcortical infarct:</w:t>
      </w:r>
      <w:r>
        <w:rPr>
          <w:rFonts w:ascii="Calibri" w:hAnsi="Calibri"/>
          <w:color w:val="000000"/>
          <w:sz w:val="22"/>
        </w:rPr>
        <w:t xml:space="preserve"> imaging evidence of a recent infarction in one perforating-arteriole territory.</w:t>
      </w:r>
    </w:p>
    <w:p>
      <w:pPr>
        <w:numPr>
          <w:ilvl w:val="0"/>
          <w:numId w:val="10"/>
        </w:numPr>
        <w:spacing w:before="0" w:after="80" w:line="300" w:lineRule="auto"/>
      </w:pPr>
      <w:r>
        <w:rPr>
          <w:rFonts w:ascii="Calibri" w:hAnsi="Calibri"/>
          <w:b/>
          <w:color w:val="000000"/>
          <w:sz w:val="22"/>
        </w:rPr>
        <w:t>Lacune:</w:t>
      </w:r>
      <w:r>
        <w:rPr>
          <w:rFonts w:ascii="Calibri" w:hAnsi="Calibri"/>
          <w:color w:val="000000"/>
          <w:sz w:val="22"/>
        </w:rPr>
        <w:t xml:space="preserve"> a fluid-filled subcortical cavity, generally up to 15 mm, representing the healed end stage of several possible small lesions.</w:t>
      </w:r>
    </w:p>
    <w:p>
      <w:pPr>
        <w:numPr>
          <w:ilvl w:val="0"/>
          <w:numId w:val="10"/>
        </w:numPr>
        <w:spacing w:before="0" w:after="80" w:line="300" w:lineRule="auto"/>
      </w:pPr>
      <w:r>
        <w:rPr>
          <w:rFonts w:ascii="Calibri" w:hAnsi="Calibri"/>
          <w:b/>
          <w:color w:val="000000"/>
          <w:sz w:val="22"/>
        </w:rPr>
        <w:t>White matter hyperintensity (WMH):</w:t>
      </w:r>
      <w:r>
        <w:rPr>
          <w:rFonts w:ascii="Calibri" w:hAnsi="Calibri"/>
          <w:color w:val="000000"/>
          <w:sz w:val="22"/>
        </w:rPr>
        <w:t xml:space="preserve"> T2/FLAIR hyperintensity without CSF-like cavitation. Histology can include myelin loss, axonal damage, gliosis, rarefaction, edema, and small infarcts; etiology is not specific.</w:t>
      </w:r>
    </w:p>
    <w:p>
      <w:pPr>
        <w:numPr>
          <w:ilvl w:val="0"/>
          <w:numId w:val="10"/>
        </w:numPr>
        <w:spacing w:before="0" w:after="80" w:line="300" w:lineRule="auto"/>
      </w:pPr>
      <w:r>
        <w:rPr>
          <w:rFonts w:ascii="Calibri" w:hAnsi="Calibri"/>
          <w:b/>
          <w:color w:val="000000"/>
          <w:sz w:val="22"/>
        </w:rPr>
        <w:t>Cortical microinfarct:</w:t>
      </w:r>
      <w:r>
        <w:rPr>
          <w:rFonts w:ascii="Calibri" w:hAnsi="Calibri"/>
          <w:color w:val="000000"/>
          <w:sz w:val="22"/>
        </w:rPr>
        <w:t xml:space="preserve"> a microscopic ischemic lesion, only a subset of which is visible on conventional MRI. High-resolution MRI detects more but introduces new mimics and thresholds.</w:t>
      </w:r>
    </w:p>
    <w:p>
      <w:pPr>
        <w:numPr>
          <w:ilvl w:val="0"/>
          <w:numId w:val="10"/>
        </w:numPr>
        <w:spacing w:before="0" w:after="80" w:line="300" w:lineRule="auto"/>
      </w:pPr>
      <w:r>
        <w:rPr>
          <w:rFonts w:ascii="Calibri" w:hAnsi="Calibri"/>
          <w:b/>
          <w:color w:val="000000"/>
          <w:sz w:val="22"/>
        </w:rPr>
        <w:t>Diffusion microstructural injury:</w:t>
      </w:r>
      <w:r>
        <w:rPr>
          <w:rFonts w:ascii="Calibri" w:hAnsi="Calibri"/>
          <w:color w:val="000000"/>
          <w:sz w:val="22"/>
        </w:rPr>
        <w:t xml:space="preserve"> altered mean diffusivity, fractional anisotropy, free water, and network metrics may reveal damage before a lesion becomes visible.</w:t>
      </w:r>
    </w:p>
    <w:p>
      <w:pPr>
        <w:numPr>
          <w:ilvl w:val="0"/>
          <w:numId w:val="10"/>
        </w:numPr>
        <w:spacing w:before="0" w:after="80" w:line="300" w:lineRule="auto"/>
      </w:pPr>
      <w:r>
        <w:rPr>
          <w:rFonts w:ascii="Calibri" w:hAnsi="Calibri"/>
          <w:b/>
          <w:color w:val="000000"/>
          <w:sz w:val="22"/>
        </w:rPr>
        <w:t>Atrophy:</w:t>
      </w:r>
      <w:r>
        <w:rPr>
          <w:rFonts w:ascii="Calibri" w:hAnsi="Calibri"/>
          <w:color w:val="000000"/>
          <w:sz w:val="22"/>
        </w:rPr>
        <w:t xml:space="preserve"> downstream volume loss that can be vascular, neurodegenerative, or mixed.</w:t>
      </w:r>
    </w:p>
    <w:p>
      <w:pPr>
        <w:keepNext/>
        <w:spacing w:before="160" w:after="80"/>
      </w:pPr>
      <w:r>
        <w:rPr>
          <w:rFonts w:ascii="Calibri" w:hAnsi="Calibri"/>
          <w:b/>
          <w:color w:val="1F4D78"/>
          <w:sz w:val="22"/>
        </w:rPr>
        <w:t>Hemorrhagic consequences</w:t>
      </w:r>
    </w:p>
    <w:p>
      <w:pPr>
        <w:numPr>
          <w:ilvl w:val="0"/>
          <w:numId w:val="10"/>
        </w:numPr>
        <w:spacing w:before="0" w:after="80" w:line="300" w:lineRule="auto"/>
      </w:pPr>
      <w:r>
        <w:rPr>
          <w:rFonts w:ascii="Calibri" w:hAnsi="Calibri"/>
          <w:b/>
          <w:color w:val="000000"/>
          <w:sz w:val="22"/>
        </w:rPr>
        <w:t>Cerebral microbleed (CMB):</w:t>
      </w:r>
      <w:r>
        <w:rPr>
          <w:rFonts w:ascii="Calibri" w:hAnsi="Calibri"/>
          <w:color w:val="000000"/>
          <w:sz w:val="22"/>
        </w:rPr>
        <w:t xml:space="preserve"> a small susceptibility signal void with blooming, generally 2-5 mm but sometimes operationalized up to 10 mm. It represents hemosiderin from prior leakage/bleeding, not necessarily an active bleed.</w:t>
      </w:r>
    </w:p>
    <w:p>
      <w:pPr>
        <w:numPr>
          <w:ilvl w:val="0"/>
          <w:numId w:val="10"/>
        </w:numPr>
        <w:spacing w:before="0" w:after="80" w:line="300" w:lineRule="auto"/>
      </w:pPr>
      <w:r>
        <w:rPr>
          <w:rFonts w:ascii="Calibri" w:hAnsi="Calibri"/>
          <w:b/>
          <w:color w:val="000000"/>
          <w:sz w:val="22"/>
        </w:rPr>
        <w:t>Cortical superficial siderosis (cSS):</w:t>
      </w:r>
      <w:r>
        <w:rPr>
          <w:rFonts w:ascii="Calibri" w:hAnsi="Calibri"/>
          <w:color w:val="000000"/>
          <w:sz w:val="22"/>
        </w:rPr>
        <w:t xml:space="preserve"> chronic blood-breakdown products along the superficial cortex, often interpreted as the residue of repeated convexity subarachnoid bleeding in CAA.</w:t>
      </w:r>
    </w:p>
    <w:p>
      <w:pPr>
        <w:numPr>
          <w:ilvl w:val="0"/>
          <w:numId w:val="10"/>
        </w:numPr>
        <w:spacing w:before="0" w:after="80" w:line="300" w:lineRule="auto"/>
      </w:pPr>
      <w:r>
        <w:rPr>
          <w:rFonts w:ascii="Calibri" w:hAnsi="Calibri"/>
          <w:b/>
          <w:color w:val="000000"/>
          <w:sz w:val="22"/>
        </w:rPr>
        <w:t>Convexity subarachnoid hemorrhage (cSAH):</w:t>
      </w:r>
      <w:r>
        <w:rPr>
          <w:rFonts w:ascii="Calibri" w:hAnsi="Calibri"/>
          <w:color w:val="000000"/>
          <w:sz w:val="22"/>
        </w:rPr>
        <w:t xml:space="preserve"> acute blood in cortical sulci over the convexity; in older patients CAA is important, but venous thrombosis, vasoconstriction, vasculitis, and other causes must be excluded.</w:t>
      </w:r>
    </w:p>
    <w:p>
      <w:pPr>
        <w:numPr>
          <w:ilvl w:val="0"/>
          <w:numId w:val="10"/>
        </w:numPr>
        <w:spacing w:before="0" w:after="80" w:line="300" w:lineRule="auto"/>
      </w:pPr>
      <w:r>
        <w:rPr>
          <w:rFonts w:ascii="Calibri" w:hAnsi="Calibri"/>
          <w:b/>
          <w:color w:val="000000"/>
          <w:sz w:val="22"/>
        </w:rPr>
        <w:t>Intracerebral hemorrhage (ICH):</w:t>
      </w:r>
      <w:r>
        <w:rPr>
          <w:rFonts w:ascii="Calibri" w:hAnsi="Calibri"/>
          <w:color w:val="000000"/>
          <w:sz w:val="22"/>
        </w:rPr>
        <w:t xml:space="preserve"> a macrohemorrhage. Lobar location favors CAA; deep location favors non-amyloid arteriopathy. Cerebellar location is anatomically heterogeneous and is not counted as lobar or deep in Boston v2.0.</w:t>
      </w:r>
    </w:p>
    <w:p>
      <w:pPr>
        <w:keepNext/>
        <w:spacing w:before="160" w:after="80"/>
      </w:pPr>
      <w:r>
        <w:rPr>
          <w:rFonts w:ascii="Calibri" w:hAnsi="Calibri"/>
          <w:b/>
          <w:color w:val="1F4D78"/>
          <w:sz w:val="22"/>
        </w:rPr>
        <w:t>Mimics are part of the definition</w:t>
      </w:r>
    </w:p>
    <w:p>
      <w:pPr>
        <w:spacing w:before="0" w:after="120" w:line="300" w:lineRule="auto"/>
      </w:pPr>
      <w:r>
        <w:rPr>
          <w:rFonts w:ascii="Calibri" w:hAnsi="Calibri"/>
          <w:color w:val="000000"/>
          <w:sz w:val="22"/>
        </w:rPr>
        <w:t>Susceptibility lesions can be vessels, calcification, cavernomas, trauma-related deposits, or artifacts. PVS can mimic lacunes; lacunes can be confused with old hemorrhage; WMH can reflect demyelination, inflammation, edema, toxic-metabolic injury, or genetic disease. A research protocol must define acquisition, planes, size, signal behavior, anatomic boundaries, and adjudication.</w:t>
      </w:r>
    </w:p>
    <w:p>
      <w:bookmarkStart w:id="27" w:name="section_018"/>
      <w:pPr>
        <w:pStyle w:val="Heading2"/>
      </w:pPr>
      <w:r>
        <w:t>7. The clinical spectrum</w:t>
      </w:r>
      <w:bookmarkEnd w:id="27"/>
    </w:p>
    <w:p>
      <w:pPr>
        <w:spacing w:before="0" w:after="120" w:line="300" w:lineRule="auto"/>
      </w:pPr>
      <w:r>
        <w:rPr>
          <w:rFonts w:ascii="Calibri" w:hAnsi="Calibri"/>
          <w:color w:val="000000"/>
          <w:sz w:val="22"/>
        </w:rPr>
        <w:t>cSVD is not synonymous with a stroke seen on a scan. Its manifestations include:</w:t>
      </w:r>
    </w:p>
    <w:p>
      <w:pPr>
        <w:numPr>
          <w:ilvl w:val="0"/>
          <w:numId w:val="10"/>
        </w:numPr>
        <w:spacing w:before="0" w:after="80" w:line="300" w:lineRule="auto"/>
      </w:pPr>
      <w:r>
        <w:rPr>
          <w:rFonts w:ascii="Calibri" w:hAnsi="Calibri"/>
          <w:color w:val="000000"/>
          <w:sz w:val="22"/>
        </w:rPr>
        <w:t>lacunar ischemic stroke and deep or lobar hemorrhage;</w:t>
      </w:r>
    </w:p>
    <w:p>
      <w:pPr>
        <w:numPr>
          <w:ilvl w:val="0"/>
          <w:numId w:val="10"/>
        </w:numPr>
        <w:spacing w:before="0" w:after="80" w:line="300" w:lineRule="auto"/>
      </w:pPr>
      <w:r>
        <w:rPr>
          <w:rFonts w:ascii="Calibri" w:hAnsi="Calibri"/>
          <w:color w:val="000000"/>
          <w:sz w:val="22"/>
        </w:rPr>
        <w:t>cognitive slowing, executive dysfunction, reduced processing speed, and later multidomain impairment;</w:t>
      </w:r>
    </w:p>
    <w:p>
      <w:pPr>
        <w:numPr>
          <w:ilvl w:val="0"/>
          <w:numId w:val="10"/>
        </w:numPr>
        <w:spacing w:before="0" w:after="80" w:line="300" w:lineRule="auto"/>
      </w:pPr>
      <w:r>
        <w:rPr>
          <w:rFonts w:ascii="Calibri" w:hAnsi="Calibri"/>
          <w:color w:val="000000"/>
          <w:sz w:val="22"/>
        </w:rPr>
        <w:t>gait slowing, balance impairment, falls, parkinsonian features, and loss of independence;</w:t>
      </w:r>
    </w:p>
    <w:p>
      <w:pPr>
        <w:numPr>
          <w:ilvl w:val="0"/>
          <w:numId w:val="10"/>
        </w:numPr>
        <w:spacing w:before="0" w:after="80" w:line="300" w:lineRule="auto"/>
      </w:pPr>
      <w:r>
        <w:rPr>
          <w:rFonts w:ascii="Calibri" w:hAnsi="Calibri"/>
          <w:color w:val="000000"/>
          <w:sz w:val="22"/>
        </w:rPr>
        <w:t>apathy, depression, emotional dysregulation, urinary symptoms, and neurobehavioral change;</w:t>
      </w:r>
    </w:p>
    <w:p>
      <w:pPr>
        <w:numPr>
          <w:ilvl w:val="0"/>
          <w:numId w:val="10"/>
        </w:numPr>
        <w:spacing w:before="0" w:after="80" w:line="300" w:lineRule="auto"/>
      </w:pPr>
      <w:r>
        <w:rPr>
          <w:rFonts w:ascii="Calibri" w:hAnsi="Calibri"/>
          <w:color w:val="000000"/>
          <w:sz w:val="22"/>
        </w:rPr>
        <w:t>subtle accumulated disability despite no recognized stroke;</w:t>
      </w:r>
    </w:p>
    <w:p>
      <w:pPr>
        <w:numPr>
          <w:ilvl w:val="0"/>
          <w:numId w:val="10"/>
        </w:numPr>
        <w:spacing w:before="0" w:after="80" w:line="300" w:lineRule="auto"/>
      </w:pPr>
      <w:r>
        <w:rPr>
          <w:rFonts w:ascii="Calibri" w:hAnsi="Calibri"/>
          <w:color w:val="000000"/>
          <w:sz w:val="22"/>
        </w:rPr>
        <w:t>acute or subacute inflammatory syndromes.</w:t>
      </w:r>
    </w:p>
    <w:p>
      <w:pPr>
        <w:spacing w:before="0" w:after="120" w:line="300" w:lineRule="auto"/>
      </w:pPr>
      <w:r>
        <w:rPr>
          <w:rFonts w:ascii="Calibri" w:hAnsi="Calibri"/>
          <w:color w:val="000000"/>
          <w:sz w:val="22"/>
        </w:rPr>
        <w:t>CAA has several particularly characteristic presentations:</w:t>
      </w:r>
    </w:p>
    <w:p>
      <w:pPr>
        <w:numPr>
          <w:ilvl w:val="0"/>
          <w:numId w:val="10"/>
        </w:numPr>
        <w:spacing w:before="0" w:after="80" w:line="300" w:lineRule="auto"/>
      </w:pPr>
      <w:r>
        <w:rPr>
          <w:rFonts w:ascii="Calibri" w:hAnsi="Calibri"/>
          <w:color w:val="000000"/>
          <w:sz w:val="22"/>
        </w:rPr>
        <w:t>lobar ICH;</w:t>
      </w:r>
    </w:p>
    <w:p>
      <w:pPr>
        <w:numPr>
          <w:ilvl w:val="0"/>
          <w:numId w:val="10"/>
        </w:numPr>
        <w:spacing w:before="0" w:after="80" w:line="300" w:lineRule="auto"/>
      </w:pPr>
      <w:r>
        <w:rPr>
          <w:rFonts w:ascii="Calibri" w:hAnsi="Calibri"/>
          <w:color w:val="000000"/>
          <w:sz w:val="22"/>
        </w:rPr>
        <w:t>transient focal neurologic episodes (TFNEs or "amyloid spells"), often spreading positive or negative sensory/motor symptoms related to cSAH/cSS and cortical spreading depolarization rather than embolic TIA;</w:t>
      </w:r>
    </w:p>
    <w:p>
      <w:pPr>
        <w:numPr>
          <w:ilvl w:val="0"/>
          <w:numId w:val="10"/>
        </w:numPr>
        <w:spacing w:before="0" w:after="80" w:line="300" w:lineRule="auto"/>
      </w:pPr>
      <w:r>
        <w:rPr>
          <w:rFonts w:ascii="Calibri" w:hAnsi="Calibri"/>
          <w:color w:val="000000"/>
          <w:sz w:val="22"/>
        </w:rPr>
        <w:t>progressive cognitive impairment from non-hemorrhagic injury, network disruption, coexisting Alzheimer disease, and hemorrhagic lesions;</w:t>
      </w:r>
    </w:p>
    <w:p>
      <w:pPr>
        <w:numPr>
          <w:ilvl w:val="0"/>
          <w:numId w:val="10"/>
        </w:numPr>
        <w:spacing w:before="0" w:after="80" w:line="300" w:lineRule="auto"/>
      </w:pPr>
      <w:r>
        <w:rPr>
          <w:rFonts w:ascii="Calibri" w:hAnsi="Calibri"/>
          <w:color w:val="000000"/>
          <w:sz w:val="22"/>
        </w:rPr>
        <w:t>CAA-related inflammation (CAA-ri), with subacute cognitive/behavioral change, headache, seizures, focal deficits, asymmetric vasogenic edema, and hemorrhagic markers;</w:t>
      </w:r>
    </w:p>
    <w:p>
      <w:pPr>
        <w:numPr>
          <w:ilvl w:val="0"/>
          <w:numId w:val="10"/>
        </w:numPr>
        <w:spacing w:before="0" w:after="80" w:line="300" w:lineRule="auto"/>
      </w:pPr>
      <w:r>
        <w:rPr>
          <w:rFonts w:ascii="Calibri" w:hAnsi="Calibri"/>
          <w:color w:val="000000"/>
          <w:sz w:val="22"/>
        </w:rPr>
        <w:t>treatment-associated ARIA in the context of anti-Aβ immunotherapy, which is biologically adjacent to CAA but not identical to spontaneous CAA-ri.</w:t>
      </w:r>
    </w:p>
    <w:p>
      <w:bookmarkStart w:id="28" w:name="section_019"/>
      <w:pPr>
        <w:pStyle w:val="Heading2"/>
      </w:pPr>
      <w:r>
        <w:t>8. Why cognition is hard to attribute</w:t>
      </w:r>
      <w:bookmarkEnd w:id="28"/>
    </w:p>
    <w:p>
      <w:pPr>
        <w:spacing w:before="0" w:after="120" w:line="300" w:lineRule="auto"/>
      </w:pPr>
      <w:r>
        <w:rPr>
          <w:rFonts w:ascii="Calibri" w:hAnsi="Calibri"/>
          <w:color w:val="000000"/>
          <w:sz w:val="22"/>
        </w:rPr>
        <w:t>Older brains usually contain several pathologies. A person can have B-ASC, CAA, Alzheimer disease neuropathologic change, LATE-NC, Lewy body disease, atherosclerosis, infarcts, and hippocampal sclerosis together. Their clinical effects can be additive, synergistic, thresholded by brain reserve, or partly redundant.</w:t>
      </w:r>
    </w:p>
    <w:p>
      <w:pPr>
        <w:spacing w:before="0" w:after="120" w:line="300" w:lineRule="auto"/>
      </w:pPr>
      <w:r>
        <w:rPr>
          <w:rFonts w:ascii="Calibri" w:hAnsi="Calibri"/>
          <w:color w:val="000000"/>
          <w:sz w:val="22"/>
        </w:rPr>
        <w:t>Important examples from the supplied literature are:</w:t>
      </w:r>
    </w:p>
    <w:p>
      <w:pPr>
        <w:numPr>
          <w:ilvl w:val="0"/>
          <w:numId w:val="10"/>
        </w:numPr>
        <w:spacing w:before="0" w:after="80" w:line="300" w:lineRule="auto"/>
      </w:pPr>
      <w:r>
        <w:rPr>
          <w:rFonts w:ascii="Calibri" w:hAnsi="Calibri"/>
          <w:color w:val="000000"/>
          <w:sz w:val="22"/>
        </w:rPr>
        <w:t>B-ASC remains associated with cognition after adjustment for common neurodegenerative and vascular lesions in several autopsy cohorts.</w:t>
      </w:r>
    </w:p>
    <w:p>
      <w:pPr>
        <w:numPr>
          <w:ilvl w:val="0"/>
          <w:numId w:val="10"/>
        </w:numPr>
        <w:spacing w:before="0" w:after="80" w:line="300" w:lineRule="auto"/>
      </w:pPr>
      <w:r>
        <w:rPr>
          <w:rFonts w:ascii="Calibri" w:hAnsi="Calibri"/>
          <w:color w:val="000000"/>
          <w:sz w:val="22"/>
        </w:rPr>
        <w:t>Multiregional arteriolosclerosis is associated with hippocampal sclerosis of aging, but that association does not prove a direct causal chain.</w:t>
      </w:r>
    </w:p>
    <w:p>
      <w:pPr>
        <w:numPr>
          <w:ilvl w:val="0"/>
          <w:numId w:val="10"/>
        </w:numPr>
        <w:spacing w:before="0" w:after="80" w:line="300" w:lineRule="auto"/>
      </w:pPr>
      <w:r>
        <w:rPr>
          <w:rFonts w:ascii="Calibri" w:hAnsi="Calibri"/>
          <w:color w:val="000000"/>
          <w:sz w:val="22"/>
        </w:rPr>
        <w:t>The medial temporal lobe is a convergence zone for vascular injury, tau, TDP-43, neuronal loss, and distinctive vascular architecture.</w:t>
      </w:r>
    </w:p>
    <w:p>
      <w:pPr>
        <w:numPr>
          <w:ilvl w:val="0"/>
          <w:numId w:val="10"/>
        </w:numPr>
        <w:spacing w:before="0" w:after="80" w:line="300" w:lineRule="auto"/>
      </w:pPr>
      <w:r>
        <w:rPr>
          <w:rFonts w:ascii="Calibri" w:hAnsi="Calibri"/>
          <w:color w:val="000000"/>
          <w:sz w:val="22"/>
        </w:rPr>
        <w:t>Vessel density can correlate with tau and TDP-43 burden, yet a correlation can represent angiogenesis, selective survival, regional anatomy, compensation, or measurement effects.</w:t>
      </w:r>
    </w:p>
    <w:p>
      <w:pPr>
        <w:spacing w:before="0" w:after="120" w:line="300" w:lineRule="auto"/>
      </w:pPr>
      <w:r>
        <w:rPr>
          <w:rFonts w:ascii="Calibri" w:hAnsi="Calibri"/>
          <w:color w:val="000000"/>
          <w:sz w:val="22"/>
        </w:rPr>
        <w:t>The right question is rarely "vascular or neurodegenerative?" A better question is "which pathologies, in which regions and time windows, explain unique or interacting variance in which clinical domains?"</w:t>
      </w:r>
    </w:p>
    <w:p>
      <w:bookmarkStart w:id="29" w:name="section_020"/>
      <w:pPr>
        <w:pStyle w:val="Heading2"/>
      </w:pPr>
      <w:r>
        <w:t>9. How to interpret diagnostic criteria</w:t>
      </w:r>
      <w:bookmarkEnd w:id="29"/>
    </w:p>
    <w:p>
      <w:pPr>
        <w:spacing w:before="0" w:after="120" w:line="300" w:lineRule="auto"/>
      </w:pPr>
      <w:r>
        <w:rPr>
          <w:rFonts w:ascii="Calibri" w:hAnsi="Calibri"/>
          <w:color w:val="000000"/>
          <w:sz w:val="22"/>
        </w:rPr>
        <w:t>Criteria are engineered for a context of use. Boston v2.0 aims to identify sporadic CAA in patients aged 50 or older with a compatible clinical presentation and appropriate MRI. It is not a population-screening definition of all preclinical CAA. Edinburgh criteria address CAA probability in lobar ICH using acute CT features and, when available, APOE. STRIVE-2 standardizes lesion description for research; it does not diagnose a specific vessel-wall disease.</w:t>
      </w:r>
    </w:p>
    <w:p>
      <w:pPr>
        <w:spacing w:before="0" w:after="120" w:line="300" w:lineRule="auto"/>
      </w:pPr>
      <w:r>
        <w:rPr>
          <w:rFonts w:ascii="Calibri" w:hAnsi="Calibri"/>
          <w:color w:val="000000"/>
          <w:sz w:val="22"/>
        </w:rPr>
        <w:t>Four distinctions matter:</w:t>
      </w:r>
    </w:p>
    <w:p>
      <w:pPr>
        <w:numPr>
          <w:ilvl w:val="0"/>
          <w:numId w:val="10"/>
        </w:numPr>
        <w:spacing w:before="0" w:after="80" w:line="300" w:lineRule="auto"/>
      </w:pPr>
      <w:r>
        <w:rPr>
          <w:rFonts w:ascii="Calibri" w:hAnsi="Calibri"/>
          <w:b/>
          <w:color w:val="000000"/>
          <w:sz w:val="22"/>
        </w:rPr>
        <w:t>Rule-in versus rule-out:</w:t>
      </w:r>
      <w:r>
        <w:rPr>
          <w:rFonts w:ascii="Calibri" w:hAnsi="Calibri"/>
          <w:color w:val="000000"/>
          <w:sz w:val="22"/>
        </w:rPr>
        <w:t xml:space="preserve"> probable CAA prioritizes useful specificity; possible CAA captures a broader, less specific group.</w:t>
      </w:r>
    </w:p>
    <w:p>
      <w:pPr>
        <w:numPr>
          <w:ilvl w:val="0"/>
          <w:numId w:val="10"/>
        </w:numPr>
        <w:spacing w:before="0" w:after="80" w:line="300" w:lineRule="auto"/>
      </w:pPr>
      <w:r>
        <w:rPr>
          <w:rFonts w:ascii="Calibri" w:hAnsi="Calibri"/>
          <w:b/>
          <w:color w:val="000000"/>
          <w:sz w:val="22"/>
        </w:rPr>
        <w:t>Accuracy versus prevalence:</w:t>
      </w:r>
      <w:r>
        <w:rPr>
          <w:rFonts w:ascii="Calibri" w:hAnsi="Calibri"/>
          <w:color w:val="000000"/>
          <w:sz w:val="22"/>
        </w:rPr>
        <w:t xml:space="preserve"> positive predictive value changes when criteria are applied to a population with different disease prevalence.</w:t>
      </w:r>
    </w:p>
    <w:p>
      <w:pPr>
        <w:numPr>
          <w:ilvl w:val="0"/>
          <w:numId w:val="10"/>
        </w:numPr>
        <w:spacing w:before="0" w:after="80" w:line="300" w:lineRule="auto"/>
      </w:pPr>
      <w:r>
        <w:rPr>
          <w:rFonts w:ascii="Calibri" w:hAnsi="Calibri"/>
          <w:b/>
          <w:color w:val="000000"/>
          <w:sz w:val="22"/>
        </w:rPr>
        <w:t>Patient-level versus lesion-level truth:</w:t>
      </w:r>
      <w:r>
        <w:rPr>
          <w:rFonts w:ascii="Calibri" w:hAnsi="Calibri"/>
          <w:color w:val="000000"/>
          <w:sz w:val="22"/>
        </w:rPr>
        <w:t xml:space="preserve"> a person can meet probable CAA criteria while one particular lobar microbleed was caused by another pathology.</w:t>
      </w:r>
    </w:p>
    <w:p>
      <w:pPr>
        <w:numPr>
          <w:ilvl w:val="0"/>
          <w:numId w:val="10"/>
        </w:numPr>
        <w:spacing w:before="0" w:after="80" w:line="300" w:lineRule="auto"/>
      </w:pPr>
      <w:r>
        <w:rPr>
          <w:rFonts w:ascii="Calibri" w:hAnsi="Calibri"/>
          <w:b/>
          <w:color w:val="000000"/>
          <w:sz w:val="22"/>
        </w:rPr>
        <w:t>Clinical validation versus biological completeness:</w:t>
      </w:r>
      <w:r>
        <w:rPr>
          <w:rFonts w:ascii="Calibri" w:hAnsi="Calibri"/>
          <w:color w:val="000000"/>
          <w:sz w:val="22"/>
        </w:rPr>
        <w:t xml:space="preserve"> criteria can work well while omitting early physiology or molecular biomarkers.</w:t>
      </w:r>
    </w:p>
    <w:p>
      <w:bookmarkStart w:id="30" w:name="section_021"/>
      <w:pPr>
        <w:pStyle w:val="Heading2"/>
      </w:pPr>
      <w:r>
        <w:t>10. What the field knows with relatively high confidence</w:t>
      </w:r>
      <w:bookmarkEnd w:id="30"/>
    </w:p>
    <w:p>
      <w:pPr>
        <w:numPr>
          <w:ilvl w:val="0"/>
          <w:numId w:val="10"/>
        </w:numPr>
        <w:spacing w:before="0" w:after="80" w:line="300" w:lineRule="auto"/>
      </w:pPr>
      <w:r>
        <w:rPr>
          <w:rFonts w:ascii="Calibri" w:hAnsi="Calibri"/>
          <w:color w:val="000000"/>
          <w:sz w:val="22"/>
        </w:rPr>
        <w:t>cSVD is heterogeneous and is a major contributor to stroke, cognitive impairment, gait dysfunction, and disability.</w:t>
      </w:r>
    </w:p>
    <w:p>
      <w:pPr>
        <w:numPr>
          <w:ilvl w:val="0"/>
          <w:numId w:val="10"/>
        </w:numPr>
        <w:spacing w:before="0" w:after="80" w:line="300" w:lineRule="auto"/>
      </w:pPr>
      <w:r>
        <w:rPr>
          <w:rFonts w:ascii="Calibri" w:hAnsi="Calibri"/>
          <w:color w:val="000000"/>
          <w:sz w:val="22"/>
        </w:rPr>
        <w:t>CAA and arteriolosclerosis are distinct vessel-wall pathologies that frequently coexist.</w:t>
      </w:r>
    </w:p>
    <w:p>
      <w:pPr>
        <w:numPr>
          <w:ilvl w:val="0"/>
          <w:numId w:val="10"/>
        </w:numPr>
        <w:spacing w:before="0" w:after="80" w:line="300" w:lineRule="auto"/>
      </w:pPr>
      <w:r>
        <w:rPr>
          <w:rFonts w:ascii="Calibri" w:hAnsi="Calibri"/>
          <w:color w:val="000000"/>
          <w:sz w:val="22"/>
        </w:rPr>
        <w:t>Routine MRI mostly detects consequences, not the small vessel wall directly.</w:t>
      </w:r>
    </w:p>
    <w:p>
      <w:pPr>
        <w:numPr>
          <w:ilvl w:val="0"/>
          <w:numId w:val="10"/>
        </w:numPr>
        <w:spacing w:before="0" w:after="80" w:line="300" w:lineRule="auto"/>
      </w:pPr>
      <w:r>
        <w:rPr>
          <w:rFonts w:ascii="Calibri" w:hAnsi="Calibri"/>
          <w:color w:val="000000"/>
          <w:sz w:val="22"/>
        </w:rPr>
        <w:t>Lesion distribution carries etiologic information but is not perfectly specific.</w:t>
      </w:r>
    </w:p>
    <w:p>
      <w:pPr>
        <w:numPr>
          <w:ilvl w:val="0"/>
          <w:numId w:val="10"/>
        </w:numPr>
        <w:spacing w:before="0" w:after="80" w:line="300" w:lineRule="auto"/>
      </w:pPr>
      <w:r>
        <w:rPr>
          <w:rFonts w:ascii="Calibri" w:hAnsi="Calibri"/>
          <w:color w:val="000000"/>
          <w:sz w:val="22"/>
        </w:rPr>
        <w:t>CAA can cause hemorrhagic and non-hemorrhagic injury and contributes to cognitive impairment independent of a large symptomatic hemorrhage.</w:t>
      </w:r>
    </w:p>
    <w:p>
      <w:pPr>
        <w:numPr>
          <w:ilvl w:val="0"/>
          <w:numId w:val="10"/>
        </w:numPr>
        <w:spacing w:before="0" w:after="80" w:line="300" w:lineRule="auto"/>
      </w:pPr>
      <w:r>
        <w:rPr>
          <w:rFonts w:ascii="Calibri" w:hAnsi="Calibri"/>
          <w:color w:val="000000"/>
          <w:sz w:val="22"/>
        </w:rPr>
        <w:t>B-ASC is common, clinically consequential, and methodologically under-standardized.</w:t>
      </w:r>
    </w:p>
    <w:p>
      <w:pPr>
        <w:numPr>
          <w:ilvl w:val="0"/>
          <w:numId w:val="10"/>
        </w:numPr>
        <w:spacing w:before="0" w:after="80" w:line="300" w:lineRule="auto"/>
      </w:pPr>
      <w:r>
        <w:rPr>
          <w:rFonts w:ascii="Calibri" w:hAnsi="Calibri"/>
          <w:color w:val="000000"/>
          <w:sz w:val="22"/>
        </w:rPr>
        <w:t>Mixed vascular and neurodegenerative pathology is the rule in advanced age.</w:t>
      </w:r>
    </w:p>
    <w:p>
      <w:pPr>
        <w:numPr>
          <w:ilvl w:val="0"/>
          <w:numId w:val="10"/>
        </w:numPr>
        <w:spacing w:before="0" w:after="80" w:line="300" w:lineRule="auto"/>
      </w:pPr>
      <w:r>
        <w:rPr>
          <w:rFonts w:ascii="Calibri" w:hAnsi="Calibri"/>
          <w:color w:val="000000"/>
          <w:sz w:val="22"/>
        </w:rPr>
        <w:t>MRI acquisition and processing choices substantially change visible lesion counts.</w:t>
      </w:r>
    </w:p>
    <w:p>
      <w:pPr>
        <w:numPr>
          <w:ilvl w:val="0"/>
          <w:numId w:val="10"/>
        </w:numPr>
        <w:spacing w:before="0" w:after="80" w:line="300" w:lineRule="auto"/>
      </w:pPr>
      <w:r>
        <w:rPr>
          <w:rFonts w:ascii="Calibri" w:hAnsi="Calibri"/>
          <w:color w:val="000000"/>
          <w:sz w:val="22"/>
        </w:rPr>
        <w:t>Pathology remains the reference standard for definite CAA and direct assessment of B-ASC, but pathology has its own sampling and temporal limitations.</w:t>
      </w:r>
    </w:p>
    <w:p>
      <w:bookmarkStart w:id="31" w:name="section_022"/>
      <w:pPr>
        <w:pStyle w:val="Heading2"/>
      </w:pPr>
      <w:r>
        <w:t>11. What remains unsettled</w:t>
      </w:r>
      <w:bookmarkEnd w:id="31"/>
    </w:p>
    <w:p>
      <w:pPr>
        <w:numPr>
          <w:ilvl w:val="0"/>
          <w:numId w:val="10"/>
        </w:numPr>
        <w:spacing w:before="0" w:after="80" w:line="300" w:lineRule="auto"/>
      </w:pPr>
      <w:r>
        <w:rPr>
          <w:rFonts w:ascii="Calibri" w:hAnsi="Calibri"/>
          <w:color w:val="000000"/>
          <w:sz w:val="22"/>
        </w:rPr>
        <w:t>the dominant human routes and driving forces for perivascular clearance;</w:t>
      </w:r>
    </w:p>
    <w:p>
      <w:pPr>
        <w:numPr>
          <w:ilvl w:val="0"/>
          <w:numId w:val="10"/>
        </w:numPr>
        <w:spacing w:before="0" w:after="80" w:line="300" w:lineRule="auto"/>
      </w:pPr>
      <w:r>
        <w:rPr>
          <w:rFonts w:ascii="Calibri" w:hAnsi="Calibri"/>
          <w:color w:val="000000"/>
          <w:sz w:val="22"/>
        </w:rPr>
        <w:t>whether BBB leakage is an initiating event, consequence, or both in different cSVD subtypes;</w:t>
      </w:r>
    </w:p>
    <w:p>
      <w:pPr>
        <w:numPr>
          <w:ilvl w:val="0"/>
          <w:numId w:val="10"/>
        </w:numPr>
        <w:spacing w:before="0" w:after="80" w:line="300" w:lineRule="auto"/>
      </w:pPr>
      <w:r>
        <w:rPr>
          <w:rFonts w:ascii="Calibri" w:hAnsi="Calibri"/>
          <w:color w:val="000000"/>
          <w:sz w:val="22"/>
        </w:rPr>
        <w:t>how many biologically distinct processes are hidden inside the label B-ASC;</w:t>
      </w:r>
    </w:p>
    <w:p>
      <w:pPr>
        <w:numPr>
          <w:ilvl w:val="0"/>
          <w:numId w:val="10"/>
        </w:numPr>
        <w:spacing w:before="0" w:after="80" w:line="300" w:lineRule="auto"/>
      </w:pPr>
      <w:r>
        <w:rPr>
          <w:rFonts w:ascii="Calibri" w:hAnsi="Calibri"/>
          <w:color w:val="000000"/>
          <w:sz w:val="22"/>
        </w:rPr>
        <w:t>how to diagnose prehemorrhagic CAA specifically during life;</w:t>
      </w:r>
    </w:p>
    <w:p>
      <w:pPr>
        <w:numPr>
          <w:ilvl w:val="0"/>
          <w:numId w:val="10"/>
        </w:numPr>
        <w:spacing w:before="0" w:after="80" w:line="300" w:lineRule="auto"/>
      </w:pPr>
      <w:r>
        <w:rPr>
          <w:rFonts w:ascii="Calibri" w:hAnsi="Calibri"/>
          <w:color w:val="000000"/>
          <w:sz w:val="22"/>
        </w:rPr>
        <w:t>which WMH, PVS, diffusion, or vascular-reactivity patterns truly distinguish CAA from arteriolosclerosis;</w:t>
      </w:r>
    </w:p>
    <w:p>
      <w:pPr>
        <w:numPr>
          <w:ilvl w:val="0"/>
          <w:numId w:val="10"/>
        </w:numPr>
        <w:spacing w:before="0" w:after="80" w:line="300" w:lineRule="auto"/>
      </w:pPr>
      <w:r>
        <w:rPr>
          <w:rFonts w:ascii="Calibri" w:hAnsi="Calibri"/>
          <w:color w:val="000000"/>
          <w:sz w:val="22"/>
        </w:rPr>
        <w:t>how CAA, B-ASC, Alzheimer pathology, LATE-NC, and hippocampal sclerosis interact regionally and temporally;</w:t>
      </w:r>
    </w:p>
    <w:p>
      <w:pPr>
        <w:numPr>
          <w:ilvl w:val="0"/>
          <w:numId w:val="10"/>
        </w:numPr>
        <w:spacing w:before="0" w:after="80" w:line="300" w:lineRule="auto"/>
      </w:pPr>
      <w:r>
        <w:rPr>
          <w:rFonts w:ascii="Calibri" w:hAnsi="Calibri"/>
          <w:color w:val="000000"/>
          <w:sz w:val="22"/>
        </w:rPr>
        <w:t>which biomarkers are sufficiently robust, diverse, and treatment-responsive for clinical trials;</w:t>
      </w:r>
    </w:p>
    <w:p>
      <w:pPr>
        <w:numPr>
          <w:ilvl w:val="0"/>
          <w:numId w:val="10"/>
        </w:numPr>
        <w:spacing w:before="0" w:after="80" w:line="300" w:lineRule="auto"/>
      </w:pPr>
      <w:r>
        <w:rPr>
          <w:rFonts w:ascii="Calibri" w:hAnsi="Calibri"/>
          <w:color w:val="000000"/>
          <w:sz w:val="22"/>
        </w:rPr>
        <w:t>whether modifying a biomarker changes clinically meaningful outcomes;</w:t>
      </w:r>
    </w:p>
    <w:p>
      <w:pPr>
        <w:numPr>
          <w:ilvl w:val="0"/>
          <w:numId w:val="10"/>
        </w:numPr>
        <w:spacing w:before="0" w:after="80" w:line="300" w:lineRule="auto"/>
      </w:pPr>
      <w:r>
        <w:rPr>
          <w:rFonts w:ascii="Calibri" w:hAnsi="Calibri"/>
          <w:color w:val="000000"/>
          <w:sz w:val="22"/>
        </w:rPr>
        <w:t>how anti-amyloid treatment perturbs vascular amyloid and why severe ARIA occurs in a small subset.</w:t>
      </w:r>
    </w:p>
    <w:p>
      <w:bookmarkStart w:id="32" w:name="section_023"/>
      <w:pPr>
        <w:pStyle w:val="Heading2"/>
      </w:pPr>
      <w:r>
        <w:t>12. A researcher's working mental model</w:t>
      </w:r>
      <w:bookmarkEnd w:id="32"/>
    </w:p>
    <w:p>
      <w:pPr>
        <w:spacing w:before="0" w:after="120" w:line="300" w:lineRule="auto"/>
      </w:pPr>
      <w:r>
        <w:rPr>
          <w:rFonts w:ascii="Calibri" w:hAnsi="Calibri"/>
          <w:color w:val="000000"/>
          <w:sz w:val="22"/>
        </w:rPr>
        <w:t>For every observation, write down six fields:</w:t>
      </w:r>
    </w:p>
    <w:p>
      <w:pPr>
        <w:numPr>
          <w:ilvl w:val="0"/>
          <w:numId w:val="14"/>
        </w:numPr>
        <w:spacing w:before="0" w:after="80" w:line="300" w:lineRule="auto"/>
      </w:pPr>
      <w:r>
        <w:rPr>
          <w:rFonts w:ascii="Calibri" w:hAnsi="Calibri"/>
          <w:b/>
          <w:color w:val="000000"/>
          <w:sz w:val="22"/>
        </w:rPr>
        <w:t>Level:</w:t>
      </w:r>
      <w:r>
        <w:rPr>
          <w:rFonts w:ascii="Calibri" w:hAnsi="Calibri"/>
          <w:color w:val="000000"/>
          <w:sz w:val="22"/>
        </w:rPr>
        <w:t xml:space="preserve"> risk factor, vessel wall, physiology, tissue, imaging, or clinical.</w:t>
      </w:r>
    </w:p>
    <w:p>
      <w:pPr>
        <w:numPr>
          <w:ilvl w:val="0"/>
          <w:numId w:val="14"/>
        </w:numPr>
        <w:spacing w:before="0" w:after="80" w:line="300" w:lineRule="auto"/>
      </w:pPr>
      <w:r>
        <w:rPr>
          <w:rFonts w:ascii="Calibri" w:hAnsi="Calibri"/>
          <w:b/>
          <w:color w:val="000000"/>
          <w:sz w:val="22"/>
        </w:rPr>
        <w:t>Time:</w:t>
      </w:r>
      <w:r>
        <w:rPr>
          <w:rFonts w:ascii="Calibri" w:hAnsi="Calibri"/>
          <w:color w:val="000000"/>
          <w:sz w:val="22"/>
        </w:rPr>
        <w:t xml:space="preserve"> before, near, or after the outcome of interest.</w:t>
      </w:r>
    </w:p>
    <w:p>
      <w:pPr>
        <w:numPr>
          <w:ilvl w:val="0"/>
          <w:numId w:val="14"/>
        </w:numPr>
        <w:spacing w:before="0" w:after="80" w:line="300" w:lineRule="auto"/>
      </w:pPr>
      <w:r>
        <w:rPr>
          <w:rFonts w:ascii="Calibri" w:hAnsi="Calibri"/>
          <w:b/>
          <w:color w:val="000000"/>
          <w:sz w:val="22"/>
        </w:rPr>
        <w:t>Location:</w:t>
      </w:r>
      <w:r>
        <w:rPr>
          <w:rFonts w:ascii="Calibri" w:hAnsi="Calibri"/>
          <w:color w:val="000000"/>
          <w:sz w:val="22"/>
        </w:rPr>
        <w:t xml:space="preserve"> cortical ribbon, juxtacortical white matter, deep white matter, deep gray nuclei, brainstem, cerebellum, leptomeninges, or vessel compartment.</w:t>
      </w:r>
    </w:p>
    <w:p>
      <w:pPr>
        <w:numPr>
          <w:ilvl w:val="0"/>
          <w:numId w:val="14"/>
        </w:numPr>
        <w:spacing w:before="0" w:after="80" w:line="300" w:lineRule="auto"/>
      </w:pPr>
      <w:r>
        <w:rPr>
          <w:rFonts w:ascii="Calibri" w:hAnsi="Calibri"/>
          <w:b/>
          <w:color w:val="000000"/>
          <w:sz w:val="22"/>
        </w:rPr>
        <w:t>Specificity:</w:t>
      </w:r>
      <w:r>
        <w:rPr>
          <w:rFonts w:ascii="Calibri" w:hAnsi="Calibri"/>
          <w:color w:val="000000"/>
          <w:sz w:val="22"/>
        </w:rPr>
        <w:t xml:space="preserve"> which competing processes can produce the same observation?</w:t>
      </w:r>
    </w:p>
    <w:p>
      <w:pPr>
        <w:numPr>
          <w:ilvl w:val="0"/>
          <w:numId w:val="14"/>
        </w:numPr>
        <w:spacing w:before="0" w:after="80" w:line="300" w:lineRule="auto"/>
      </w:pPr>
      <w:r>
        <w:rPr>
          <w:rFonts w:ascii="Calibri" w:hAnsi="Calibri"/>
          <w:b/>
          <w:color w:val="000000"/>
          <w:sz w:val="22"/>
        </w:rPr>
        <w:t>Reference:</w:t>
      </w:r>
      <w:r>
        <w:rPr>
          <w:rFonts w:ascii="Calibri" w:hAnsi="Calibri"/>
          <w:color w:val="000000"/>
          <w:sz w:val="22"/>
        </w:rPr>
        <w:t xml:space="preserve"> tissue, longitudinal outcome, another biomarker, expert label, or no independent reference.</w:t>
      </w:r>
    </w:p>
    <w:p>
      <w:pPr>
        <w:numPr>
          <w:ilvl w:val="0"/>
          <w:numId w:val="14"/>
        </w:numPr>
        <w:spacing w:before="0" w:after="80" w:line="300" w:lineRule="auto"/>
      </w:pPr>
      <w:r>
        <w:rPr>
          <w:rFonts w:ascii="Calibri" w:hAnsi="Calibri"/>
          <w:b/>
          <w:color w:val="000000"/>
          <w:sz w:val="22"/>
        </w:rPr>
        <w:t>Context of use:</w:t>
      </w:r>
      <w:r>
        <w:rPr>
          <w:rFonts w:ascii="Calibri" w:hAnsi="Calibri"/>
          <w:color w:val="000000"/>
          <w:sz w:val="22"/>
        </w:rPr>
        <w:t xml:space="preserve"> discovery, diagnosis, prognosis, monitoring, trial enrichment, or mechanism.</w:t>
      </w:r>
    </w:p>
    <w:p>
      <w:pPr>
        <w:spacing w:before="0" w:after="120" w:line="300" w:lineRule="auto"/>
      </w:pPr>
      <w:r>
        <w:rPr>
          <w:rFonts w:ascii="Calibri" w:hAnsi="Calibri"/>
          <w:color w:val="000000"/>
          <w:sz w:val="22"/>
        </w:rPr>
        <w:t>This six-field discipline is the shortest route from superficial familiarity to research-grade understanding.</w:t>
      </w:r>
    </w:p>
    <w:p>
      <w:bookmarkStart w:id="33" w:name="section_024"/>
      <w:pPr>
        <w:pStyle w:val="Heading2"/>
      </w:pPr>
      <w:r>
        <w:t>Core references</w:t>
      </w:r>
      <w:bookmarkEnd w:id="33"/>
    </w:p>
    <w:p>
      <w:pPr>
        <w:numPr>
          <w:ilvl w:val="0"/>
          <w:numId w:val="10"/>
        </w:numPr>
        <w:spacing w:before="0" w:after="80" w:line="300" w:lineRule="auto"/>
      </w:pPr>
      <w:r>
        <w:rPr>
          <w:rFonts w:ascii="Calibri" w:hAnsi="Calibri"/>
          <w:color w:val="000000"/>
          <w:sz w:val="22"/>
        </w:rPr>
        <w:t xml:space="preserve">Blevins BL, et al. Brain arteriolosclerosis. </w:t>
      </w:r>
      <w:r>
        <w:rPr>
          <w:rFonts w:ascii="Calibri" w:hAnsi="Calibri"/>
          <w:i/>
          <w:color w:val="000000"/>
          <w:sz w:val="22"/>
        </w:rPr>
        <w:t>Acta Neuropathologica</w:t>
      </w:r>
      <w:r>
        <w:rPr>
          <w:rFonts w:ascii="Calibri" w:hAnsi="Calibri"/>
          <w:color w:val="000000"/>
          <w:sz w:val="22"/>
        </w:rPr>
        <w:t xml:space="preserve">. 2021;141:1-24. </w:t>
      </w:r>
      <w:hyperlink r:id="rId13">
        <w:r>
          <w:rPr>
            <w:rFonts w:ascii="Calibri" w:hAnsi="Calibri"/>
            <w:color w:val="2E74B5"/>
            <w:u w:val="single"/>
          </w:rPr>
          <w:t>doi:10.1007/s00401-020-02235-6</w:t>
        </w:r>
      </w:hyperlink>
    </w:p>
    <w:p>
      <w:pPr>
        <w:numPr>
          <w:ilvl w:val="0"/>
          <w:numId w:val="10"/>
        </w:numPr>
        <w:spacing w:before="0" w:after="80" w:line="300" w:lineRule="auto"/>
      </w:pPr>
      <w:r>
        <w:rPr>
          <w:rFonts w:ascii="Calibri" w:hAnsi="Calibri"/>
          <w:color w:val="000000"/>
          <w:sz w:val="22"/>
        </w:rPr>
        <w:t xml:space="preserve">Charidimou A, et al. Emerging concepts in sporadic cerebral amyloid angiopathy. </w:t>
      </w:r>
      <w:r>
        <w:rPr>
          <w:rFonts w:ascii="Calibri" w:hAnsi="Calibri"/>
          <w:i/>
          <w:color w:val="000000"/>
          <w:sz w:val="22"/>
        </w:rPr>
        <w:t>Brain</w:t>
      </w:r>
      <w:r>
        <w:rPr>
          <w:rFonts w:ascii="Calibri" w:hAnsi="Calibri"/>
          <w:color w:val="000000"/>
          <w:sz w:val="22"/>
        </w:rPr>
        <w:t xml:space="preserve">. 2017;140:1829-1850. </w:t>
      </w:r>
      <w:hyperlink r:id="rId14">
        <w:r>
          <w:rPr>
            <w:rFonts w:ascii="Calibri" w:hAnsi="Calibri"/>
            <w:color w:val="2E74B5"/>
            <w:u w:val="single"/>
          </w:rPr>
          <w:t>doi:10.1093/brain/awx047</w:t>
        </w:r>
      </w:hyperlink>
    </w:p>
    <w:p>
      <w:pPr>
        <w:numPr>
          <w:ilvl w:val="0"/>
          <w:numId w:val="10"/>
        </w:numPr>
        <w:spacing w:before="0" w:after="80" w:line="300" w:lineRule="auto"/>
      </w:pPr>
      <w:r>
        <w:rPr>
          <w:rFonts w:ascii="Calibri" w:hAnsi="Calibri"/>
          <w:color w:val="000000"/>
          <w:sz w:val="22"/>
        </w:rPr>
        <w:t xml:space="preserve">Duering M, et al. Neuroimaging standards for research into small vessel disease - advances since 2013. </w:t>
      </w:r>
      <w:r>
        <w:rPr>
          <w:rFonts w:ascii="Calibri" w:hAnsi="Calibri"/>
          <w:i/>
          <w:color w:val="000000"/>
          <w:sz w:val="22"/>
        </w:rPr>
        <w:t>Lancet Neurology</w:t>
      </w:r>
      <w:r>
        <w:rPr>
          <w:rFonts w:ascii="Calibri" w:hAnsi="Calibri"/>
          <w:color w:val="000000"/>
          <w:sz w:val="22"/>
        </w:rPr>
        <w:t xml:space="preserve">. 2023;22:602-618. </w:t>
      </w:r>
      <w:hyperlink r:id="rId15">
        <w:r>
          <w:rPr>
            <w:rFonts w:ascii="Calibri" w:hAnsi="Calibri"/>
            <w:color w:val="2E74B5"/>
            <w:u w:val="single"/>
          </w:rPr>
          <w:t>doi:10.1016/S1474-4422(23)00131-X</w:t>
        </w:r>
      </w:hyperlink>
    </w:p>
    <w:p>
      <w:pPr>
        <w:numPr>
          <w:ilvl w:val="0"/>
          <w:numId w:val="10"/>
        </w:numPr>
        <w:spacing w:before="0" w:after="80" w:line="300" w:lineRule="auto"/>
      </w:pPr>
      <w:r>
        <w:rPr>
          <w:rFonts w:ascii="Calibri" w:hAnsi="Calibri"/>
          <w:color w:val="000000"/>
          <w:sz w:val="22"/>
        </w:rPr>
        <w:t xml:space="preserve">Greenberg SM. Cerebral Amyloid Angiopathy. </w:t>
      </w:r>
      <w:r>
        <w:rPr>
          <w:rFonts w:ascii="Calibri" w:hAnsi="Calibri"/>
          <w:i/>
          <w:color w:val="000000"/>
          <w:sz w:val="22"/>
        </w:rPr>
        <w:t>New England Journal of Medicine</w:t>
      </w:r>
      <w:r>
        <w:rPr>
          <w:rFonts w:ascii="Calibri" w:hAnsi="Calibri"/>
          <w:color w:val="000000"/>
          <w:sz w:val="22"/>
        </w:rPr>
        <w:t xml:space="preserve">. 2026;394:1836-1845. </w:t>
      </w:r>
      <w:hyperlink r:id="rId16">
        <w:r>
          <w:rPr>
            <w:rFonts w:ascii="Calibri" w:hAnsi="Calibri"/>
            <w:color w:val="2E74B5"/>
            <w:u w:val="single"/>
          </w:rPr>
          <w:t>doi:10.1056/NEJMra2411298</w:t>
        </w:r>
      </w:hyperlink>
    </w:p>
    <w:p>
      <w:pPr>
        <w:numPr>
          <w:ilvl w:val="0"/>
          <w:numId w:val="10"/>
        </w:numPr>
        <w:spacing w:before="0" w:after="80" w:line="300" w:lineRule="auto"/>
      </w:pPr>
      <w:r>
        <w:rPr>
          <w:rFonts w:ascii="Calibri" w:hAnsi="Calibri"/>
          <w:color w:val="000000"/>
          <w:sz w:val="22"/>
        </w:rPr>
        <w:t xml:space="preserve">Koemans EA, et al. Progression of cerebral amyloid angiopathy: a pathophysiological framework. </w:t>
      </w:r>
      <w:r>
        <w:rPr>
          <w:rFonts w:ascii="Calibri" w:hAnsi="Calibri"/>
          <w:i/>
          <w:color w:val="000000"/>
          <w:sz w:val="22"/>
        </w:rPr>
        <w:t>Lancet Neurology</w:t>
      </w:r>
      <w:r>
        <w:rPr>
          <w:rFonts w:ascii="Calibri" w:hAnsi="Calibri"/>
          <w:color w:val="000000"/>
          <w:sz w:val="22"/>
        </w:rPr>
        <w:t xml:space="preserve">. 2023;22:632-642. </w:t>
      </w:r>
      <w:hyperlink r:id="rId17">
        <w:r>
          <w:rPr>
            <w:rFonts w:ascii="Calibri" w:hAnsi="Calibri"/>
            <w:color w:val="2E74B5"/>
            <w:u w:val="single"/>
          </w:rPr>
          <w:t>doi:10.1016/S1474-4422(23)00114-X</w:t>
        </w:r>
      </w:hyperlink>
    </w:p>
    <w:p>
      <w:pPr>
        <w:numPr>
          <w:ilvl w:val="0"/>
          <w:numId w:val="10"/>
        </w:numPr>
        <w:spacing w:before="0" w:after="80" w:line="300" w:lineRule="auto"/>
      </w:pPr>
      <w:r>
        <w:rPr>
          <w:rFonts w:ascii="Calibri" w:hAnsi="Calibri"/>
          <w:color w:val="000000"/>
          <w:sz w:val="22"/>
        </w:rPr>
        <w:t xml:space="preserve">Perosa V, et al. Histopathological correlates of lobar microbleeds in false-positive cerebral amyloid angiopathy cases. </w:t>
      </w:r>
      <w:r>
        <w:rPr>
          <w:rFonts w:ascii="Calibri" w:hAnsi="Calibri"/>
          <w:i/>
          <w:color w:val="000000"/>
          <w:sz w:val="22"/>
        </w:rPr>
        <w:t>Annals of Neurology</w:t>
      </w:r>
      <w:r>
        <w:rPr>
          <w:rFonts w:ascii="Calibri" w:hAnsi="Calibri"/>
          <w:color w:val="000000"/>
          <w:sz w:val="22"/>
        </w:rPr>
        <w:t xml:space="preserve">. 2023;94:856-870. </w:t>
      </w:r>
      <w:hyperlink r:id="rId18">
        <w:r>
          <w:rPr>
            <w:rFonts w:ascii="Calibri" w:hAnsi="Calibri"/>
            <w:color w:val="2E74B5"/>
            <w:u w:val="single"/>
          </w:rPr>
          <w:t>Journal record</w:t>
        </w:r>
      </w:hyperlink>
    </w:p>
    <w:p>
      <w:pPr>
        <w:numPr>
          <w:ilvl w:val="0"/>
          <w:numId w:val="10"/>
        </w:numPr>
        <w:spacing w:before="0" w:after="80" w:line="300" w:lineRule="auto"/>
      </w:pPr>
      <w:r>
        <w:rPr>
          <w:rFonts w:ascii="Calibri" w:hAnsi="Calibri"/>
          <w:color w:val="000000"/>
          <w:sz w:val="22"/>
        </w:rPr>
        <w:t xml:space="preserve">van Veluw SJ, et al. Is CAA a perivascular brain clearance disease? </w:t>
      </w:r>
      <w:r>
        <w:rPr>
          <w:rFonts w:ascii="Calibri" w:hAnsi="Calibri"/>
          <w:i/>
          <w:color w:val="000000"/>
          <w:sz w:val="22"/>
        </w:rPr>
        <w:t>Cellular and Molecular Life Sciences</w:t>
      </w:r>
      <w:r>
        <w:rPr>
          <w:rFonts w:ascii="Calibri" w:hAnsi="Calibri"/>
          <w:color w:val="000000"/>
          <w:sz w:val="22"/>
        </w:rPr>
        <w:t xml:space="preserve">. 2024;81:239. </w:t>
      </w:r>
      <w:hyperlink r:id="rId19">
        <w:r>
          <w:rPr>
            <w:rFonts w:ascii="Calibri" w:hAnsi="Calibri"/>
            <w:color w:val="2E74B5"/>
            <w:u w:val="single"/>
          </w:rPr>
          <w:t>doi:10.1007/s00018-024-05277-1</w:t>
        </w:r>
      </w:hyperlink>
    </w:p>
    <w:p>
      <w:pPr>
        <w:keepNext/>
        <w:spacing w:before="160" w:after="60"/>
        <w:jc w:val="center"/>
      </w:pPr>
      <w:r>
        <w:drawing>
          <wp:inline xmlns:a="http://schemas.openxmlformats.org/drawingml/2006/main" xmlns:pic="http://schemas.openxmlformats.org/drawingml/2006/picture">
            <wp:extent cx="5715000" cy="3214688"/>
            <wp:docPr id="3" name="Picture 3" descr="Small-vessel compartments from pial artery to venule and their downstream tissue consequences." title="Small-vessel compartments from pial artery to venule and their downstream tissue consequences"/>
            <wp:cNvGraphicFramePr>
              <a:graphicFrameLocks noChangeAspect="1"/>
            </wp:cNvGraphicFramePr>
            <a:graphic>
              <a:graphicData uri="http://schemas.openxmlformats.org/drawingml/2006/picture">
                <pic:pic>
                  <pic:nvPicPr>
                    <pic:cNvPr id="0" name="figure_02_vessel_compartments.png"/>
                    <pic:cNvPicPr/>
                  </pic:nvPicPr>
                  <pic:blipFill>
                    <a:blip r:embed="rId2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3. </w:t>
      </w:r>
      <w:r>
        <w:rPr>
          <w:rFonts w:ascii="Calibri" w:hAnsi="Calibri"/>
          <w:i/>
          <w:color w:val="5A626C"/>
          <w:sz w:val="19"/>
        </w:rPr>
        <w:t>Small-vessel compartments from pial artery to venule and their downstream tissue consequences.</w:t>
      </w:r>
    </w:p>
    <w:p>
      <w:bookmarkStart w:id="34" w:name="section_025"/>
      <w:pPr>
        <w:pStyle w:val="Heading1"/>
      </w:pPr>
      <w:r>
        <w:t>Diagnostic Criteria and Rating Systems</w:t>
      </w:r>
      <w:bookmarkEnd w:id="34"/>
      <w:r>
        <w:rPr>
          <w:rFonts w:ascii="Calibri" w:hAnsi="Calibri"/>
          <w:color w:val="000000"/>
          <w:sz w:val="16"/>
        </w:rPr>
        <w:t xml:space="preserve">   </w:t>
      </w:r>
      <w:hyperlink w:anchor="Contents">
        <w:r>
          <w:rPr>
            <w:color w:val="2E74B5"/>
            <w:u w:val="single"/>
            <w:sz w:val="16"/>
          </w:rPr>
          <w:t>Back to contents</w:t>
        </w:r>
      </w:hyperlink>
    </w:p>
    <w:p>
      <w:bookmarkStart w:id="35" w:name="section_026"/>
      <w:pPr>
        <w:pStyle w:val="Heading2"/>
      </w:pPr>
      <w:r>
        <w:t>1. First decide what job the instrument performs</w:t>
      </w:r>
      <w:bookmarkEnd w:id="35"/>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STRIVE-2</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Standardize neuroimaging description and research reporting</w:t>
      </w:r>
    </w:p>
    <w:p>
      <w:pPr>
        <w:spacing w:before="0" w:after="40" w:line="269" w:lineRule="auto"/>
        <w:ind w:left="317"/>
      </w:pPr>
      <w:r>
        <w:rPr>
          <w:rFonts w:ascii="Calibri" w:hAnsi="Calibri"/>
          <w:b/>
          <w:color w:val="203748"/>
          <w:sz w:val="19"/>
        </w:rPr>
        <w:t xml:space="preserve">Unit: </w:t>
      </w:r>
      <w:r>
        <w:rPr>
          <w:rFonts w:ascii="Calibri" w:hAnsi="Calibri"/>
          <w:color w:val="000000"/>
          <w:sz w:val="19"/>
        </w:rPr>
        <w:t>Lesion/scan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Imaging phenotype consensus</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Diagnose one cSVD etiology</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Boston criteria v2.0</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Classify likelihood of sporadic CAA</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Neuropathologic CAA</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Stage every phase of CAA or identify the cause of each lesion</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Edinburgh CT/genetic criteria</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Estimate moderate/severe CAA underlying a lobar ICH</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 with lobar ICH</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Neuropathology</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Diagnose non-ICH presentations or all CAA</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CAA-ri criteria</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Identify inflammatory CAA clinicoradiologically</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Tissue inflammation plus vascular amyloid</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Replace exclusion of infection, neoplasm, and mimics</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MARS/BOMBS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Rate microbleed presence, count, and location reproducibly</w:t>
      </w:r>
    </w:p>
    <w:p>
      <w:pPr>
        <w:spacing w:before="0" w:after="40" w:line="269" w:lineRule="auto"/>
        <w:ind w:left="317"/>
      </w:pPr>
      <w:r>
        <w:rPr>
          <w:rFonts w:ascii="Calibri" w:hAnsi="Calibri"/>
          <w:b/>
          <w:color w:val="203748"/>
          <w:sz w:val="19"/>
        </w:rPr>
        <w:t xml:space="preserve">Unit: </w:t>
      </w:r>
      <w:r>
        <w:rPr>
          <w:rFonts w:ascii="Calibri" w:hAnsi="Calibri"/>
          <w:color w:val="000000"/>
          <w:sz w:val="19"/>
        </w:rPr>
        <w:t>Lesion/scan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Expert imaging label</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Establish the causal vessel pathology</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Total SVD / CAA-SVD scores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Summarize visible lesion burden</w:t>
      </w:r>
    </w:p>
    <w:p>
      <w:pPr>
        <w:spacing w:before="0" w:after="40" w:line="269" w:lineRule="auto"/>
        <w:ind w:left="317"/>
      </w:pPr>
      <w:r>
        <w:rPr>
          <w:rFonts w:ascii="Calibri" w:hAnsi="Calibri"/>
          <w:b/>
          <w:color w:val="203748"/>
          <w:sz w:val="19"/>
        </w:rPr>
        <w:t xml:space="preserve">Unit: </w:t>
      </w:r>
      <w:r>
        <w:rPr>
          <w:rFonts w:ascii="Calibri" w:hAnsi="Calibri"/>
          <w:color w:val="000000"/>
          <w:sz w:val="19"/>
        </w:rPr>
        <w:t>Patient/scan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Construct and outcome validity</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Provide a pathologic diagnosis or continuous mechanistic measure</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Instrument: </w:t>
      </w:r>
      <w:r>
        <w:rPr>
          <w:rFonts w:ascii="Calibri" w:hAnsi="Calibri"/>
          <w:color w:val="000000"/>
          <w:sz w:val="19"/>
        </w:rPr>
        <w:t>VCING/NACC pathology scales</w:t>
      </w:r>
    </w:p>
    <w:p>
      <w:pPr>
        <w:spacing w:before="0" w:after="40" w:line="269" w:lineRule="auto"/>
        <w:ind w:left="317"/>
      </w:pPr>
      <w:r>
        <w:rPr>
          <w:rFonts w:ascii="Calibri" w:hAnsi="Calibri"/>
          <w:b/>
          <w:color w:val="203748"/>
          <w:sz w:val="19"/>
        </w:rPr>
        <w:t xml:space="preserve">Primary job: </w:t>
      </w:r>
      <w:r>
        <w:rPr>
          <w:rFonts w:ascii="Calibri" w:hAnsi="Calibri"/>
          <w:color w:val="000000"/>
          <w:sz w:val="19"/>
        </w:rPr>
        <w:t>Standardize postmortem lesion assessment</w:t>
      </w:r>
    </w:p>
    <w:p>
      <w:pPr>
        <w:spacing w:before="0" w:after="40" w:line="269" w:lineRule="auto"/>
        <w:ind w:left="317"/>
      </w:pPr>
      <w:r>
        <w:rPr>
          <w:rFonts w:ascii="Calibri" w:hAnsi="Calibri"/>
          <w:b/>
          <w:color w:val="203748"/>
          <w:sz w:val="19"/>
        </w:rPr>
        <w:t xml:space="preserve">Unit: </w:t>
      </w:r>
      <w:r>
        <w:rPr>
          <w:rFonts w:ascii="Calibri" w:hAnsi="Calibri"/>
          <w:color w:val="000000"/>
          <w:sz w:val="19"/>
        </w:rPr>
        <w:t>Tissue/brain</w:t>
      </w:r>
    </w:p>
    <w:p>
      <w:pPr>
        <w:spacing w:before="0" w:after="40" w:line="269" w:lineRule="auto"/>
        <w:ind w:left="317"/>
      </w:pPr>
      <w:r>
        <w:rPr>
          <w:rFonts w:ascii="Calibri" w:hAnsi="Calibri"/>
          <w:b/>
          <w:color w:val="203748"/>
          <w:sz w:val="19"/>
        </w:rPr>
        <w:t xml:space="preserve">Reference concept: </w:t>
      </w:r>
      <w:r>
        <w:rPr>
          <w:rFonts w:ascii="Calibri" w:hAnsi="Calibri"/>
          <w:color w:val="000000"/>
          <w:sz w:val="19"/>
        </w:rPr>
        <w:t>Histomorphology and cognitive associations</w:t>
      </w:r>
    </w:p>
    <w:p>
      <w:pPr>
        <w:spacing w:before="0" w:after="40" w:line="269" w:lineRule="auto"/>
        <w:ind w:left="317"/>
      </w:pPr>
      <w:r>
        <w:rPr>
          <w:rFonts w:ascii="Calibri" w:hAnsi="Calibri"/>
          <w:b/>
          <w:color w:val="203748"/>
          <w:sz w:val="19"/>
        </w:rPr>
        <w:t xml:space="preserve">What it does not do: </w:t>
      </w:r>
      <w:r>
        <w:rPr>
          <w:rFonts w:ascii="Calibri" w:hAnsi="Calibri"/>
          <w:color w:val="000000"/>
          <w:sz w:val="19"/>
        </w:rPr>
        <w:t>Eliminate sampling error or antemortem-postmortem interval</w:t>
      </w:r>
    </w:p>
    <w:p>
      <w:bookmarkStart w:id="36" w:name="section_027"/>
      <w:pPr>
        <w:pStyle w:val="Heading2"/>
      </w:pPr>
      <w:r>
        <w:t>2. STRIVE-2: describe what is visible</w:t>
      </w:r>
      <w:bookmarkEnd w:id="36"/>
    </w:p>
    <w:p>
      <w:pPr>
        <w:spacing w:before="0" w:after="120" w:line="300" w:lineRule="auto"/>
      </w:pPr>
      <w:r>
        <w:rPr>
          <w:rFonts w:ascii="Calibri" w:hAnsi="Calibri"/>
          <w:color w:val="000000"/>
          <w:sz w:val="22"/>
        </w:rPr>
        <w:t xml:space="preserve">STRIVE stands for </w:t>
      </w:r>
      <w:r>
        <w:rPr>
          <w:rFonts w:ascii="Calibri" w:hAnsi="Calibri"/>
          <w:b/>
          <w:color w:val="000000"/>
          <w:sz w:val="22"/>
        </w:rPr>
        <w:t>STandards for ReportIng Vascular changes on nEuroimaging</w:t>
      </w:r>
      <w:r>
        <w:rPr>
          <w:rFonts w:ascii="Calibri" w:hAnsi="Calibri"/>
          <w:color w:val="000000"/>
          <w:sz w:val="22"/>
        </w:rPr>
        <w:t>. STRIVE-1 (2013) created a common vocabulary. STRIVE-2 (2023) preserved the phenotype-first principle, clarified evolution and mimics, and expanded attention to cortical microinfarcts, quantitative imaging, high-field MRI, vascular function, connectivity, and automated methods.</w:t>
      </w:r>
    </w:p>
    <w:p>
      <w:pPr>
        <w:keepNext/>
        <w:spacing w:before="160" w:after="80"/>
      </w:pPr>
      <w:r>
        <w:rPr>
          <w:rFonts w:ascii="Calibri" w:hAnsi="Calibri"/>
          <w:b/>
          <w:color w:val="1F4D78"/>
          <w:sz w:val="22"/>
        </w:rPr>
        <w:t>Core feature definitions in practical language</w:t>
      </w:r>
    </w:p>
    <w:tbl>
      <w:tblPr>
        <w:tblStyle w:val="TableGrid"/>
        <w:tblW w:type="dxa" w:w="9360"/>
        <w:jc w:val="left"/>
        <w:tblLayout w:type="fixed"/>
        <w:tblLook w:firstColumn="1" w:firstRow="1" w:lastColumn="0" w:lastRow="0" w:noHBand="0" w:noVBand="1" w:val="04A0"/>
        <w:tblInd w:w="120" w:type="dxa"/>
      </w:tblPr>
      <w:tblGrid>
        <w:gridCol w:w="2066"/>
        <w:gridCol w:w="2431"/>
        <w:gridCol w:w="2431"/>
        <w:gridCol w:w="2432"/>
      </w:tblGrid>
      <w:tr>
        <w:trPr>
          <w:tblHeader w:val="true"/>
          <w:cantSplit/>
        </w:trPr>
        <w:tc>
          <w:tcPr>
            <w:tcW w:type="dxa" w:w="206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Feature</w:t>
            </w:r>
          </w:p>
        </w:tc>
        <w:tc>
          <w:tcPr>
            <w:tcW w:type="dxa" w:w="243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Core imaging definition</w:t>
            </w:r>
          </w:p>
        </w:tc>
        <w:tc>
          <w:tcPr>
            <w:tcW w:type="dxa" w:w="2431"/>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Best-seen sequences</w:t>
            </w:r>
          </w:p>
        </w:tc>
        <w:tc>
          <w:tcPr>
            <w:tcW w:type="dxa" w:w="2432"/>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Main mimics/limitations</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Recent small subcortical infarct</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Recent lesion in the territory of one perforating arteriole, usually with diffusion restriction early and a compatible time course</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DWI/ADC, T2/FLAIR, T1</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Small embolic infarct, inflammatory lesion; size alone does not prove mechanism</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Lacune of presumed vascular origin</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Round/ovoid subcortical CSF-like cavity, up to 15 mm, consistent with healed small infarct/hemorrhage or cavitation</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T1, T2, FLAIR</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PVS, old larger infarct; a FLAIR rim is helpful but not universal</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WMH of presumed vascular origin</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White-matter T2/FLAIR hyperintensity without CSF-like cavitation</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FLAIR, T2, T1</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Demyelination, edema, gliosis, migraine-associated lesions, treatment effects; "presumed vascular" is not pathologic proof</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Perivascular space</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CSF-like round, ovoid, or linear space following a penetrating vessel; commonly &lt;=2 mm perpendicular to the vessel</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T2, T1, 3D high resolution</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Lacunes and cysts; visible enlargement does not measure clearance flow</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Cerebral microbleed</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Usually 2-5 mm, sometimes up to 10 mm, susceptibility signal void with blooming</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SWI or T2*-GRE; phase/QSM for calcification</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Veins, calcification, cavernoma, iron-rich structures, motion and air-bone artifacts</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superficial siderosis</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Thin susceptibility hypointensity in or over superficial cortex, focal or disseminated</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SWI or T2*-GRE</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Vessel, hemorrhagic transformation, trauma; infratentorial superficial siderosis has a different differential</w:t>
            </w:r>
          </w:p>
        </w:tc>
      </w:tr>
      <w:tr>
        <w:trPr>
          <w:cantSplit/>
        </w:trPr>
        <w:tc>
          <w:tcPr>
            <w:tcW w:type="dxa" w:w="206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Brain atrophy</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Brain volume loss not explained solely by a specific focal injury</w:t>
            </w:r>
          </w:p>
        </w:tc>
        <w:tc>
          <w:tcPr>
            <w:tcW w:type="dxa" w:w="2431"/>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3D T1, longitudinal volumetry</w:t>
            </w:r>
          </w:p>
        </w:tc>
        <w:tc>
          <w:tcPr>
            <w:tcW w:type="dxa" w:w="2432"/>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Neurodegeneration, hydration, scanner/processing effects; not cSVD-specific</w:t>
            </w:r>
          </w:p>
        </w:tc>
      </w:tr>
      <w:tr>
        <w:trPr>
          <w:cantSplit/>
        </w:trPr>
        <w:tc>
          <w:tcPr>
            <w:tcW w:type="dxa" w:w="206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cerebral microinfarct</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Strictly cortical, T1 hypointense and T2/FLAIR hyperintense lesion, operational upper limit about 4 mm for MRI-visible lesions</w:t>
            </w:r>
          </w:p>
        </w:tc>
        <w:tc>
          <w:tcPr>
            <w:tcW w:type="dxa" w:w="2431"/>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High-resolution 3D T1/T2/FLAIR, 7T improves detection</w:t>
            </w:r>
          </w:p>
        </w:tc>
        <w:tc>
          <w:tcPr>
            <w:tcW w:type="dxa" w:w="2432"/>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PVS, partial volume, cortical lesions of other causes; most microscopic lesions remain invisible</w:t>
            </w:r>
          </w:p>
        </w:tc>
      </w:tr>
    </w:tbl>
    <w:p>
      <w:pPr>
        <w:spacing w:before="0" w:after="40" w:line="240" w:lineRule="auto"/>
      </w:pPr>
    </w:p>
    <w:p>
      <w:pPr>
        <w:keepNext/>
        <w:spacing w:before="160" w:after="80"/>
      </w:pPr>
      <w:r>
        <w:rPr>
          <w:rFonts w:ascii="Calibri" w:hAnsi="Calibri"/>
          <w:b/>
          <w:color w:val="1F4D78"/>
          <w:sz w:val="22"/>
        </w:rPr>
        <w:t>The most important STRIVE rule</w:t>
      </w:r>
    </w:p>
    <w:p>
      <w:pPr>
        <w:spacing w:before="0" w:after="120" w:line="300" w:lineRule="auto"/>
      </w:pPr>
      <w:r>
        <w:rPr>
          <w:rFonts w:ascii="Calibri" w:hAnsi="Calibri"/>
          <w:color w:val="000000"/>
          <w:sz w:val="22"/>
        </w:rPr>
        <w:t>Use descriptive terms without embedding an unproven cause. For example, report "strictly lobar cerebral microbleeds" rather than "CAA microbleeds" until the patient-level evidence is integrated. Report the sequence, field strength, slice thickness, echo time, lesion definition, rating instrument, and adjudication method because detection is sequence-dependent.</w:t>
      </w:r>
    </w:p>
    <w:p>
      <w:pPr>
        <w:keepNext/>
        <w:spacing w:before="160" w:after="80"/>
      </w:pPr>
      <w:r>
        <w:rPr>
          <w:rFonts w:ascii="Calibri" w:hAnsi="Calibri"/>
          <w:b/>
          <w:color w:val="1F4D78"/>
          <w:sz w:val="22"/>
        </w:rPr>
        <w:t>STRIVE-2 is not a replacement for STRIVE-1</w:t>
      </w:r>
    </w:p>
    <w:p>
      <w:pPr>
        <w:spacing w:before="0" w:after="120" w:line="300" w:lineRule="auto"/>
      </w:pPr>
      <w:r>
        <w:rPr>
          <w:rFonts w:ascii="Calibri" w:hAnsi="Calibri"/>
          <w:color w:val="000000"/>
          <w:sz w:val="22"/>
        </w:rPr>
        <w:t>The 2023 paper explicitly builds on the 2013 standard. A protocol should cite both when using original feature definitions plus newer guidance. It should predefine how new, disappearing, cavitating, or morphologically changing lesions are handled longitudinally.</w:t>
      </w:r>
    </w:p>
    <w:p>
      <w:bookmarkStart w:id="37" w:name="section_028"/>
      <w:pPr>
        <w:pStyle w:val="Heading2"/>
      </w:pPr>
      <w:r>
        <w:t>3. Boston criteria: evolution and purpose</w:t>
      </w:r>
      <w:bookmarkEnd w:id="37"/>
    </w:p>
    <w:p>
      <w:pPr>
        <w:spacing w:before="0" w:after="120" w:line="300" w:lineRule="auto"/>
      </w:pPr>
      <w:r>
        <w:rPr>
          <w:rFonts w:ascii="Calibri" w:hAnsi="Calibri"/>
          <w:color w:val="000000"/>
          <w:sz w:val="22"/>
        </w:rPr>
        <w:t>The Boston criteria began as clinical-pathologic criteria for CAA-related hemorrhage. Revisions progressively incorporated additional hemorrhagic markers and then non-hemorrhagic white-matter features:</w:t>
      </w:r>
    </w:p>
    <w:p>
      <w:pPr>
        <w:numPr>
          <w:ilvl w:val="0"/>
          <w:numId w:val="10"/>
        </w:numPr>
        <w:spacing w:before="0" w:after="80" w:line="300" w:lineRule="auto"/>
      </w:pPr>
      <w:r>
        <w:rPr>
          <w:rFonts w:ascii="Calibri" w:hAnsi="Calibri"/>
          <w:b/>
          <w:color w:val="000000"/>
          <w:sz w:val="22"/>
        </w:rPr>
        <w:t>Original criteria:</w:t>
      </w:r>
      <w:r>
        <w:rPr>
          <w:rFonts w:ascii="Calibri" w:hAnsi="Calibri"/>
          <w:color w:val="000000"/>
          <w:sz w:val="22"/>
        </w:rPr>
        <w:t xml:space="preserve"> multiple lobar hemorrhages in an older patient, with other causes excluded.</w:t>
      </w:r>
    </w:p>
    <w:p>
      <w:pPr>
        <w:numPr>
          <w:ilvl w:val="0"/>
          <w:numId w:val="10"/>
        </w:numPr>
        <w:spacing w:before="0" w:after="80" w:line="300" w:lineRule="auto"/>
      </w:pPr>
      <w:r>
        <w:rPr>
          <w:rFonts w:ascii="Calibri" w:hAnsi="Calibri"/>
          <w:b/>
          <w:color w:val="000000"/>
          <w:sz w:val="22"/>
        </w:rPr>
        <w:t>Modified Boston criteria (often called v1.5):</w:t>
      </w:r>
      <w:r>
        <w:rPr>
          <w:rFonts w:ascii="Calibri" w:hAnsi="Calibri"/>
          <w:color w:val="000000"/>
          <w:sz w:val="22"/>
        </w:rPr>
        <w:t xml:space="preserve"> incorporated cortical superficial siderosis as a hemorrhagic marker.</w:t>
      </w:r>
    </w:p>
    <w:p>
      <w:pPr>
        <w:numPr>
          <w:ilvl w:val="0"/>
          <w:numId w:val="10"/>
        </w:numPr>
        <w:spacing w:before="0" w:after="80" w:line="300" w:lineRule="auto"/>
      </w:pPr>
      <w:r>
        <w:rPr>
          <w:rFonts w:ascii="Calibri" w:hAnsi="Calibri"/>
          <w:b/>
          <w:color w:val="000000"/>
          <w:sz w:val="22"/>
        </w:rPr>
        <w:t>Boston v2.0 (2022):</w:t>
      </w:r>
      <w:r>
        <w:rPr>
          <w:rFonts w:ascii="Calibri" w:hAnsi="Calibri"/>
          <w:color w:val="000000"/>
          <w:sz w:val="22"/>
        </w:rPr>
        <w:t xml:space="preserve"> lowered the age threshold to 50, broadened compatible presentations, and allowed severe centrum semiovale PVS or a multispot WMH pattern to combine with one lobar hemorrhagic lesion.</w:t>
      </w:r>
    </w:p>
    <w:p>
      <w:pPr>
        <w:keepNext/>
        <w:spacing w:before="160" w:after="80"/>
      </w:pPr>
      <w:r>
        <w:rPr>
          <w:rFonts w:ascii="Calibri" w:hAnsi="Calibri"/>
          <w:b/>
          <w:color w:val="1F4D78"/>
          <w:sz w:val="22"/>
        </w:rPr>
        <w:t>Boston v2.0 categories</w:t>
      </w:r>
    </w:p>
    <w:p>
      <w:pPr>
        <w:spacing w:before="0" w:after="120" w:line="300" w:lineRule="auto"/>
      </w:pPr>
      <w:r>
        <w:rPr>
          <w:rFonts w:ascii="Calibri" w:hAnsi="Calibri"/>
          <w:color w:val="000000"/>
          <w:sz w:val="22"/>
        </w:rPr>
        <w:t>The following is a research summary; use the published table and clinical expertise for formal application.</w:t>
      </w:r>
    </w:p>
    <w:p>
      <w:pPr>
        <w:keepNext/>
        <w:spacing w:before="120" w:after="80"/>
      </w:pPr>
      <w:r>
        <w:rPr>
          <w:rFonts w:ascii="Calibri" w:hAnsi="Calibri"/>
          <w:b/>
          <w:color w:val="1F4D78"/>
          <w:sz w:val="21"/>
        </w:rPr>
        <w:t>Definite CAA</w:t>
      </w:r>
    </w:p>
    <w:p>
      <w:pPr>
        <w:spacing w:before="0" w:after="120" w:line="300" w:lineRule="auto"/>
      </w:pPr>
      <w:r>
        <w:rPr>
          <w:rFonts w:ascii="Calibri" w:hAnsi="Calibri"/>
          <w:color w:val="000000"/>
          <w:sz w:val="22"/>
        </w:rPr>
        <w:t>Full postmortem examination shows:</w:t>
      </w:r>
    </w:p>
    <w:p>
      <w:pPr>
        <w:numPr>
          <w:ilvl w:val="0"/>
          <w:numId w:val="10"/>
        </w:numPr>
        <w:spacing w:before="0" w:after="80" w:line="300" w:lineRule="auto"/>
      </w:pPr>
      <w:r>
        <w:rPr>
          <w:rFonts w:ascii="Calibri" w:hAnsi="Calibri"/>
          <w:color w:val="000000"/>
          <w:sz w:val="22"/>
        </w:rPr>
        <w:t>a compatible presentation (spontaneous ICH, TFNE, cSAH, or cognitive impairment/dementia);</w:t>
      </w:r>
    </w:p>
    <w:p>
      <w:pPr>
        <w:numPr>
          <w:ilvl w:val="0"/>
          <w:numId w:val="10"/>
        </w:numPr>
        <w:spacing w:before="0" w:after="80" w:line="300" w:lineRule="auto"/>
      </w:pPr>
      <w:r>
        <w:rPr>
          <w:rFonts w:ascii="Calibri" w:hAnsi="Calibri"/>
          <w:color w:val="000000"/>
          <w:sz w:val="22"/>
        </w:rPr>
        <w:t>severe CAA with vasculopathy; and</w:t>
      </w:r>
    </w:p>
    <w:p>
      <w:pPr>
        <w:numPr>
          <w:ilvl w:val="0"/>
          <w:numId w:val="10"/>
        </w:numPr>
        <w:spacing w:before="0" w:after="80" w:line="300" w:lineRule="auto"/>
      </w:pPr>
      <w:r>
        <w:rPr>
          <w:rFonts w:ascii="Calibri" w:hAnsi="Calibri"/>
          <w:color w:val="000000"/>
          <w:sz w:val="22"/>
        </w:rPr>
        <w:t>no other diagnostic lesion explaining the presentation.</w:t>
      </w:r>
    </w:p>
    <w:p>
      <w:pPr>
        <w:keepNext/>
        <w:spacing w:before="120" w:after="80"/>
      </w:pPr>
      <w:r>
        <w:rPr>
          <w:rFonts w:ascii="Calibri" w:hAnsi="Calibri"/>
          <w:b/>
          <w:color w:val="1F4D78"/>
          <w:sz w:val="21"/>
        </w:rPr>
        <w:t>Probable CAA with supporting pathology</w:t>
      </w:r>
    </w:p>
    <w:p>
      <w:pPr>
        <w:spacing w:before="0" w:after="120" w:line="300" w:lineRule="auto"/>
      </w:pPr>
      <w:r>
        <w:rPr>
          <w:rFonts w:ascii="Calibri" w:hAnsi="Calibri"/>
          <w:color w:val="000000"/>
          <w:sz w:val="22"/>
        </w:rPr>
        <w:t>Clinical data plus limited tissue from hematoma evacuation or cortical biopsy show:</w:t>
      </w:r>
    </w:p>
    <w:p>
      <w:pPr>
        <w:numPr>
          <w:ilvl w:val="0"/>
          <w:numId w:val="10"/>
        </w:numPr>
        <w:spacing w:before="0" w:after="80" w:line="300" w:lineRule="auto"/>
      </w:pPr>
      <w:r>
        <w:rPr>
          <w:rFonts w:ascii="Calibri" w:hAnsi="Calibri"/>
          <w:color w:val="000000"/>
          <w:sz w:val="22"/>
        </w:rPr>
        <w:t>a compatible presentation;</w:t>
      </w:r>
    </w:p>
    <w:p>
      <w:pPr>
        <w:numPr>
          <w:ilvl w:val="0"/>
          <w:numId w:val="10"/>
        </w:numPr>
        <w:spacing w:before="0" w:after="80" w:line="300" w:lineRule="auto"/>
      </w:pPr>
      <w:r>
        <w:rPr>
          <w:rFonts w:ascii="Calibri" w:hAnsi="Calibri"/>
          <w:color w:val="000000"/>
          <w:sz w:val="22"/>
        </w:rPr>
        <w:t>some CAA in the specimen; and</w:t>
      </w:r>
    </w:p>
    <w:p>
      <w:pPr>
        <w:numPr>
          <w:ilvl w:val="0"/>
          <w:numId w:val="10"/>
        </w:numPr>
        <w:spacing w:before="0" w:after="80" w:line="300" w:lineRule="auto"/>
      </w:pPr>
      <w:r>
        <w:rPr>
          <w:rFonts w:ascii="Calibri" w:hAnsi="Calibri"/>
          <w:color w:val="000000"/>
          <w:sz w:val="22"/>
        </w:rPr>
        <w:t>no other diagnostic lesion.</w:t>
      </w:r>
    </w:p>
    <w:p>
      <w:pPr>
        <w:spacing w:before="0" w:after="120" w:line="300" w:lineRule="auto"/>
      </w:pPr>
      <w:r>
        <w:rPr>
          <w:rFonts w:ascii="Calibri" w:hAnsi="Calibri"/>
          <w:color w:val="000000"/>
          <w:sz w:val="22"/>
        </w:rPr>
        <w:t>Sampling is limited: a negative small specimen cannot reliably exclude segmental CAA.</w:t>
      </w:r>
    </w:p>
    <w:p>
      <w:pPr>
        <w:keepNext/>
        <w:spacing w:before="120" w:after="80"/>
      </w:pPr>
      <w:r>
        <w:rPr>
          <w:rFonts w:ascii="Calibri" w:hAnsi="Calibri"/>
          <w:b/>
          <w:color w:val="1F4D78"/>
          <w:sz w:val="21"/>
        </w:rPr>
        <w:t>Probable CAA by clinical and MRI data</w:t>
      </w:r>
    </w:p>
    <w:p>
      <w:pPr>
        <w:spacing w:before="0" w:after="120" w:line="300" w:lineRule="auto"/>
      </w:pPr>
      <w:r>
        <w:rPr>
          <w:rFonts w:ascii="Calibri" w:hAnsi="Calibri"/>
          <w:color w:val="000000"/>
          <w:sz w:val="22"/>
        </w:rPr>
        <w:t>All framework requirements apply:</w:t>
      </w:r>
    </w:p>
    <w:p>
      <w:pPr>
        <w:numPr>
          <w:ilvl w:val="0"/>
          <w:numId w:val="10"/>
        </w:numPr>
        <w:spacing w:before="0" w:after="80" w:line="300" w:lineRule="auto"/>
      </w:pPr>
      <w:r>
        <w:rPr>
          <w:rFonts w:ascii="Calibri" w:hAnsi="Calibri"/>
          <w:color w:val="000000"/>
          <w:sz w:val="22"/>
        </w:rPr>
        <w:t>age 50 years or older;</w:t>
      </w:r>
    </w:p>
    <w:p>
      <w:pPr>
        <w:numPr>
          <w:ilvl w:val="0"/>
          <w:numId w:val="10"/>
        </w:numPr>
        <w:spacing w:before="0" w:after="80" w:line="300" w:lineRule="auto"/>
      </w:pPr>
      <w:r>
        <w:rPr>
          <w:rFonts w:ascii="Calibri" w:hAnsi="Calibri"/>
          <w:color w:val="000000"/>
          <w:sz w:val="22"/>
        </w:rPr>
        <w:t>spontaneous ICH, TFNE, or cognitive impairment/dementia;</w:t>
      </w:r>
    </w:p>
    <w:p>
      <w:pPr>
        <w:numPr>
          <w:ilvl w:val="0"/>
          <w:numId w:val="10"/>
        </w:numPr>
        <w:spacing w:before="0" w:after="80" w:line="300" w:lineRule="auto"/>
      </w:pPr>
      <w:r>
        <w:rPr>
          <w:rFonts w:ascii="Calibri" w:hAnsi="Calibri"/>
          <w:color w:val="000000"/>
          <w:sz w:val="22"/>
        </w:rPr>
        <w:t>no alternative cause of the hemorrhagic lesions; and</w:t>
      </w:r>
    </w:p>
    <w:p>
      <w:pPr>
        <w:numPr>
          <w:ilvl w:val="0"/>
          <w:numId w:val="10"/>
        </w:numPr>
        <w:spacing w:before="0" w:after="80" w:line="300" w:lineRule="auto"/>
      </w:pPr>
      <w:r>
        <w:rPr>
          <w:rFonts w:ascii="Calibri" w:hAnsi="Calibri"/>
          <w:color w:val="000000"/>
          <w:sz w:val="22"/>
        </w:rPr>
        <w:t>no deep ICH or deep CMB on susceptibility-sensitive MRI.</w:t>
      </w:r>
    </w:p>
    <w:p>
      <w:pPr>
        <w:spacing w:before="0" w:after="120" w:line="300" w:lineRule="auto"/>
      </w:pPr>
      <w:r>
        <w:rPr>
          <w:rFonts w:ascii="Calibri" w:hAnsi="Calibri"/>
          <w:color w:val="000000"/>
          <w:sz w:val="22"/>
        </w:rPr>
        <w:t>In addition, one of these imaging combinations is required:</w:t>
      </w:r>
    </w:p>
    <w:p>
      <w:pPr>
        <w:numPr>
          <w:ilvl w:val="0"/>
          <w:numId w:val="15"/>
        </w:numPr>
        <w:spacing w:before="0" w:after="80" w:line="300" w:lineRule="auto"/>
      </w:pPr>
      <w:r>
        <w:rPr>
          <w:rFonts w:ascii="Calibri" w:hAnsi="Calibri"/>
          <w:color w:val="000000"/>
          <w:sz w:val="22"/>
        </w:rPr>
        <w:t xml:space="preserve">at least two strictly lobar hemorrhagic lesions in any combination of lobar ICH, lobar CMB, or cSS/cSAH foci; </w:t>
      </w:r>
      <w:r>
        <w:rPr>
          <w:rFonts w:ascii="Calibri" w:hAnsi="Calibri"/>
          <w:b/>
          <w:color w:val="000000"/>
          <w:sz w:val="22"/>
        </w:rPr>
        <w:t>or</w:t>
      </w:r>
    </w:p>
    <w:p>
      <w:pPr>
        <w:numPr>
          <w:ilvl w:val="0"/>
          <w:numId w:val="15"/>
        </w:numPr>
        <w:spacing w:before="0" w:after="80" w:line="300" w:lineRule="auto"/>
      </w:pPr>
      <w:r>
        <w:rPr>
          <w:rFonts w:ascii="Calibri" w:hAnsi="Calibri"/>
          <w:color w:val="000000"/>
          <w:sz w:val="22"/>
        </w:rPr>
        <w:t>one strictly lobar hemorrhagic lesion plus one white-matter feature: severe centrum semiovale PVS or WMH multispot pattern.</w:t>
      </w:r>
    </w:p>
    <w:p>
      <w:pPr>
        <w:spacing w:before="0" w:after="120" w:line="300" w:lineRule="auto"/>
      </w:pPr>
      <w:r>
        <w:rPr>
          <w:rFonts w:ascii="Calibri" w:hAnsi="Calibri"/>
          <w:color w:val="000000"/>
          <w:sz w:val="22"/>
        </w:rPr>
        <w:t>Cerebellar hemorrhagic lesions are counted as neither lobar nor deep in v2.0.</w:t>
      </w:r>
    </w:p>
    <w:p>
      <w:pPr>
        <w:keepNext/>
        <w:spacing w:before="120" w:after="80"/>
      </w:pPr>
      <w:r>
        <w:rPr>
          <w:rFonts w:ascii="Calibri" w:hAnsi="Calibri"/>
          <w:b/>
          <w:color w:val="1F4D78"/>
          <w:sz w:val="21"/>
        </w:rPr>
        <w:t>Possible CAA</w:t>
      </w:r>
    </w:p>
    <w:p>
      <w:pPr>
        <w:spacing w:before="0" w:after="120" w:line="300" w:lineRule="auto"/>
      </w:pPr>
      <w:r>
        <w:rPr>
          <w:rFonts w:ascii="Calibri" w:hAnsi="Calibri"/>
          <w:color w:val="000000"/>
          <w:sz w:val="22"/>
        </w:rPr>
        <w:t>The same age, compatible-presentation, exclusion, and no-deep-hemorrhagic-lesion framework applies, plus either:</w:t>
      </w:r>
    </w:p>
    <w:p>
      <w:pPr>
        <w:numPr>
          <w:ilvl w:val="0"/>
          <w:numId w:val="10"/>
        </w:numPr>
        <w:spacing w:before="0" w:after="80" w:line="300" w:lineRule="auto"/>
      </w:pPr>
      <w:r>
        <w:rPr>
          <w:rFonts w:ascii="Calibri" w:hAnsi="Calibri"/>
          <w:color w:val="000000"/>
          <w:sz w:val="22"/>
        </w:rPr>
        <w:t>one strictly lobar hemorrhagic lesion; or</w:t>
      </w:r>
    </w:p>
    <w:p>
      <w:pPr>
        <w:numPr>
          <w:ilvl w:val="0"/>
          <w:numId w:val="10"/>
        </w:numPr>
        <w:spacing w:before="0" w:after="80" w:line="300" w:lineRule="auto"/>
      </w:pPr>
      <w:r>
        <w:rPr>
          <w:rFonts w:ascii="Calibri" w:hAnsi="Calibri"/>
          <w:color w:val="000000"/>
          <w:sz w:val="22"/>
        </w:rPr>
        <w:t>one qualifying white-matter feature.</w:t>
      </w:r>
    </w:p>
    <w:p>
      <w:pPr>
        <w:keepNext/>
        <w:spacing w:before="160" w:after="80"/>
      </w:pPr>
      <w:r>
        <w:rPr>
          <w:rFonts w:ascii="Calibri" w:hAnsi="Calibri"/>
          <w:b/>
          <w:color w:val="1F4D78"/>
          <w:sz w:val="22"/>
        </w:rPr>
        <w:t>Performance in the development study</w:t>
      </w:r>
    </w:p>
    <w:p>
      <w:pPr>
        <w:spacing w:before="0" w:after="120" w:line="300" w:lineRule="auto"/>
      </w:pPr>
      <w:r>
        <w:rPr>
          <w:rFonts w:ascii="Calibri" w:hAnsi="Calibri"/>
          <w:color w:val="000000"/>
          <w:sz w:val="22"/>
        </w:rPr>
        <w:t>For probable CAA, sensitivity and specificity varied by cohort and presentation. In the combined autopsy-standard group, reported sensitivity was about 74.5% and specificity about 95.0%. This is strong rule-in performance in the studied spectrum, not a universal constant. The criteria were derived from hospital-based, selected cases with compatible clinical presentations and tissue; performance can change in community screening, younger populations, underrepresented groups, low-quality MRI, or atypical presentations.</w:t>
      </w:r>
    </w:p>
    <w:p>
      <w:pPr>
        <w:keepNext/>
        <w:spacing w:before="160" w:after="80"/>
      </w:pPr>
      <w:r>
        <w:rPr>
          <w:rFonts w:ascii="Calibri" w:hAnsi="Calibri"/>
          <w:b/>
          <w:color w:val="1F4D78"/>
          <w:sz w:val="22"/>
        </w:rPr>
        <w:t>What Boston v2.0 does not establish</w:t>
      </w:r>
    </w:p>
    <w:p>
      <w:pPr>
        <w:numPr>
          <w:ilvl w:val="0"/>
          <w:numId w:val="10"/>
        </w:numPr>
        <w:spacing w:before="0" w:after="80" w:line="300" w:lineRule="auto"/>
      </w:pPr>
      <w:r>
        <w:rPr>
          <w:rFonts w:ascii="Calibri" w:hAnsi="Calibri"/>
          <w:color w:val="000000"/>
          <w:sz w:val="22"/>
        </w:rPr>
        <w:t>It does not identify asymptomatic vascular amyloid before qualifying lesions appear.</w:t>
      </w:r>
    </w:p>
    <w:p>
      <w:pPr>
        <w:numPr>
          <w:ilvl w:val="0"/>
          <w:numId w:val="10"/>
        </w:numPr>
        <w:spacing w:before="0" w:after="80" w:line="300" w:lineRule="auto"/>
      </w:pPr>
      <w:r>
        <w:rPr>
          <w:rFonts w:ascii="Calibri" w:hAnsi="Calibri"/>
          <w:color w:val="000000"/>
          <w:sz w:val="22"/>
        </w:rPr>
        <w:t>It does not prove that every counted lobar CMB was produced by CAA.</w:t>
      </w:r>
    </w:p>
    <w:p>
      <w:pPr>
        <w:numPr>
          <w:ilvl w:val="0"/>
          <w:numId w:val="10"/>
        </w:numPr>
        <w:spacing w:before="0" w:after="80" w:line="300" w:lineRule="auto"/>
      </w:pPr>
      <w:r>
        <w:rPr>
          <w:rFonts w:ascii="Calibri" w:hAnsi="Calibri"/>
          <w:color w:val="000000"/>
          <w:sz w:val="22"/>
        </w:rPr>
        <w:t>It does not grade molecular burden or current activity.</w:t>
      </w:r>
    </w:p>
    <w:p>
      <w:pPr>
        <w:numPr>
          <w:ilvl w:val="0"/>
          <w:numId w:val="10"/>
        </w:numPr>
        <w:spacing w:before="0" w:after="80" w:line="300" w:lineRule="auto"/>
      </w:pPr>
      <w:r>
        <w:rPr>
          <w:rFonts w:ascii="Calibri" w:hAnsi="Calibri"/>
          <w:color w:val="000000"/>
          <w:sz w:val="22"/>
        </w:rPr>
        <w:t>It does not incorporate amyloid PET, CSF, plasma, vascular reactivity, or diffusion metrics as formal criteria.</w:t>
      </w:r>
    </w:p>
    <w:p>
      <w:pPr>
        <w:numPr>
          <w:ilvl w:val="0"/>
          <w:numId w:val="10"/>
        </w:numPr>
        <w:spacing w:before="0" w:after="80" w:line="300" w:lineRule="auto"/>
      </w:pPr>
      <w:r>
        <w:rPr>
          <w:rFonts w:ascii="Calibri" w:hAnsi="Calibri"/>
          <w:color w:val="000000"/>
          <w:sz w:val="22"/>
        </w:rPr>
        <w:t>It is not intended for hemorrhage with an evident alternative cause such as trauma, hemorrhagic tumor, vascular malformation, hemorrhagic transformation, or CNS vasculitis.</w:t>
      </w:r>
    </w:p>
    <w:p>
      <w:pPr>
        <w:numPr>
          <w:ilvl w:val="0"/>
          <w:numId w:val="10"/>
        </w:numPr>
        <w:spacing w:before="0" w:after="80" w:line="300" w:lineRule="auto"/>
      </w:pPr>
      <w:r>
        <w:rPr>
          <w:rFonts w:ascii="Calibri" w:hAnsi="Calibri"/>
          <w:color w:val="000000"/>
          <w:sz w:val="22"/>
        </w:rPr>
        <w:t>The absence of deep hemorrhagic lesions is a classification requirement; mixed lobar and deep disease remains clinically and biologically important even when it falls outside probable CAA.</w:t>
      </w:r>
    </w:p>
    <w:p>
      <w:bookmarkStart w:id="38" w:name="section_029"/>
      <w:pPr>
        <w:pStyle w:val="Heading2"/>
      </w:pPr>
      <w:r>
        <w:t>4. Edinburgh CT and genetic criteria</w:t>
      </w:r>
      <w:bookmarkEnd w:id="38"/>
    </w:p>
    <w:p>
      <w:pPr>
        <w:spacing w:before="0" w:after="120" w:line="300" w:lineRule="auto"/>
      </w:pPr>
      <w:r>
        <w:rPr>
          <w:rFonts w:ascii="Calibri" w:hAnsi="Calibri"/>
          <w:color w:val="000000"/>
          <w:sz w:val="22"/>
        </w:rPr>
        <w:t xml:space="preserve">The Edinburgh model was developed for </w:t>
      </w:r>
      <w:r>
        <w:rPr>
          <w:rFonts w:ascii="Calibri" w:hAnsi="Calibri"/>
          <w:b/>
          <w:color w:val="000000"/>
          <w:sz w:val="22"/>
        </w:rPr>
        <w:t>patients with lobar intracerebral hemorrhage</w:t>
      </w:r>
      <w:r>
        <w:rPr>
          <w:rFonts w:ascii="Calibri" w:hAnsi="Calibri"/>
          <w:color w:val="000000"/>
          <w:sz w:val="22"/>
        </w:rPr>
        <w:t>, especially when MRI is unavailable or unsuitable. It uses:</w:t>
      </w:r>
    </w:p>
    <w:p>
      <w:pPr>
        <w:numPr>
          <w:ilvl w:val="0"/>
          <w:numId w:val="10"/>
        </w:numPr>
        <w:spacing w:before="0" w:after="80" w:line="300" w:lineRule="auto"/>
      </w:pPr>
      <w:r>
        <w:rPr>
          <w:rFonts w:ascii="Calibri" w:hAnsi="Calibri"/>
          <w:color w:val="000000"/>
          <w:sz w:val="22"/>
        </w:rPr>
        <w:t>subarachnoid extension of the ICH on CT;</w:t>
      </w:r>
    </w:p>
    <w:p>
      <w:pPr>
        <w:numPr>
          <w:ilvl w:val="0"/>
          <w:numId w:val="10"/>
        </w:numPr>
        <w:spacing w:before="0" w:after="80" w:line="300" w:lineRule="auto"/>
      </w:pPr>
      <w:r>
        <w:rPr>
          <w:rFonts w:ascii="Calibri" w:hAnsi="Calibri"/>
          <w:color w:val="000000"/>
          <w:sz w:val="22"/>
        </w:rPr>
        <w:t>finger-like projections from the hematoma; and</w:t>
      </w:r>
    </w:p>
    <w:p>
      <w:pPr>
        <w:numPr>
          <w:ilvl w:val="0"/>
          <w:numId w:val="10"/>
        </w:numPr>
        <w:spacing w:before="0" w:after="80" w:line="300" w:lineRule="auto"/>
      </w:pPr>
      <w:r>
        <w:rPr>
          <w:rFonts w:ascii="Calibri" w:hAnsi="Calibri"/>
          <w:color w:val="000000"/>
          <w:sz w:val="22"/>
        </w:rPr>
        <w:t>APOE ε4 possession, when genotyping is available.</w:t>
      </w:r>
    </w:p>
    <w:p>
      <w:pPr>
        <w:spacing w:before="0" w:after="120" w:line="300" w:lineRule="auto"/>
      </w:pPr>
      <w:r>
        <w:rPr>
          <w:rFonts w:ascii="Calibri" w:hAnsi="Calibri"/>
          <w:color w:val="000000"/>
          <w:sz w:val="22"/>
        </w:rPr>
        <w:t>In the development cohort:</w:t>
      </w:r>
    </w:p>
    <w:p>
      <w:pPr>
        <w:numPr>
          <w:ilvl w:val="0"/>
          <w:numId w:val="10"/>
        </w:numPr>
        <w:spacing w:before="0" w:after="80" w:line="300" w:lineRule="auto"/>
      </w:pPr>
      <w:r>
        <w:rPr>
          <w:rFonts w:ascii="Calibri" w:hAnsi="Calibri"/>
          <w:color w:val="000000"/>
          <w:sz w:val="22"/>
        </w:rPr>
        <w:t>no predictor present corresponded to a low predicted probability (about 7%);</w:t>
      </w:r>
    </w:p>
    <w:p>
      <w:pPr>
        <w:numPr>
          <w:ilvl w:val="0"/>
          <w:numId w:val="10"/>
        </w:numPr>
        <w:spacing w:before="0" w:after="80" w:line="300" w:lineRule="auto"/>
      </w:pPr>
      <w:r>
        <w:rPr>
          <w:rFonts w:ascii="Calibri" w:hAnsi="Calibri"/>
          <w:color w:val="000000"/>
          <w:sz w:val="22"/>
        </w:rPr>
        <w:t>subarachnoid hemorrhage or APOE ε4 alone corresponded to an intermediate range (about 44-64%);</w:t>
      </w:r>
    </w:p>
    <w:p>
      <w:pPr>
        <w:numPr>
          <w:ilvl w:val="0"/>
          <w:numId w:val="10"/>
        </w:numPr>
        <w:spacing w:before="0" w:after="80" w:line="300" w:lineRule="auto"/>
      </w:pPr>
      <w:r>
        <w:rPr>
          <w:rFonts w:ascii="Calibri" w:hAnsi="Calibri"/>
          <w:color w:val="000000"/>
          <w:sz w:val="22"/>
        </w:rPr>
        <w:t>subarachnoid hemorrhage plus either finger-like projections or APOE ε4 corresponded to a high probability (at least 95%).</w:t>
      </w:r>
    </w:p>
    <w:p>
      <w:pPr>
        <w:spacing w:before="0" w:after="120" w:line="300" w:lineRule="auto"/>
      </w:pPr>
      <w:r>
        <w:rPr>
          <w:rFonts w:ascii="Calibri" w:hAnsi="Calibri"/>
          <w:color w:val="000000"/>
          <w:sz w:val="22"/>
        </w:rPr>
        <w:t>The study used a small, population-based autopsy cohort and internal bootstrap validation. Its authors explicitly called for external validation. CT markers should be rated with a standardized instrument such as CHARTS, and acquisition/reconstruction matter.</w:t>
      </w:r>
    </w:p>
    <w:p>
      <w:pPr>
        <w:keepNext/>
        <w:spacing w:before="160" w:after="80"/>
      </w:pPr>
      <w:r>
        <w:rPr>
          <w:rFonts w:ascii="Calibri" w:hAnsi="Calibri"/>
          <w:b/>
          <w:color w:val="1F4D78"/>
          <w:sz w:val="22"/>
        </w:rPr>
        <w:t>Conceptual contrast with Boston</w:t>
      </w:r>
    </w:p>
    <w:p>
      <w:pPr>
        <w:numPr>
          <w:ilvl w:val="0"/>
          <w:numId w:val="10"/>
        </w:numPr>
        <w:spacing w:before="0" w:after="80" w:line="300" w:lineRule="auto"/>
      </w:pPr>
      <w:r>
        <w:rPr>
          <w:rFonts w:ascii="Calibri" w:hAnsi="Calibri"/>
          <w:color w:val="000000"/>
          <w:sz w:val="22"/>
        </w:rPr>
        <w:t>Boston v2.0 addresses several CAA presentations and relies on MRI when no tissue is available.</w:t>
      </w:r>
    </w:p>
    <w:p>
      <w:pPr>
        <w:numPr>
          <w:ilvl w:val="0"/>
          <w:numId w:val="10"/>
        </w:numPr>
        <w:spacing w:before="0" w:after="80" w:line="300" w:lineRule="auto"/>
      </w:pPr>
      <w:r>
        <w:rPr>
          <w:rFonts w:ascii="Calibri" w:hAnsi="Calibri"/>
          <w:color w:val="000000"/>
          <w:sz w:val="22"/>
        </w:rPr>
        <w:t>Edinburgh addresses the cause of a lobar ICH using acute CT morphology, optionally plus APOE.</w:t>
      </w:r>
    </w:p>
    <w:p>
      <w:pPr>
        <w:numPr>
          <w:ilvl w:val="0"/>
          <w:numId w:val="10"/>
        </w:numPr>
        <w:spacing w:before="0" w:after="80" w:line="300" w:lineRule="auto"/>
      </w:pPr>
      <w:r>
        <w:rPr>
          <w:rFonts w:ascii="Calibri" w:hAnsi="Calibri"/>
          <w:color w:val="000000"/>
          <w:sz w:val="22"/>
        </w:rPr>
        <w:t>The instruments are complementary rather than competitors.</w:t>
      </w:r>
    </w:p>
    <w:p>
      <w:bookmarkStart w:id="39" w:name="section_030"/>
      <w:pPr>
        <w:pStyle w:val="Heading2"/>
      </w:pPr>
      <w:r>
        <w:t>5. CAA-related inflammation criteria</w:t>
      </w:r>
      <w:bookmarkEnd w:id="39"/>
    </w:p>
    <w:p>
      <w:pPr>
        <w:spacing w:before="0" w:after="120" w:line="300" w:lineRule="auto"/>
      </w:pPr>
      <w:r>
        <w:rPr>
          <w:rFonts w:ascii="Calibri" w:hAnsi="Calibri"/>
          <w:color w:val="000000"/>
          <w:sz w:val="22"/>
        </w:rPr>
        <w:t>CAA-ri is a potentially treatment-responsive inflammatory syndrome associated with vascular amyloid. Pathology spans predominantly perivascular inflammation and destructive transmural/intramural vasculitis; current guidance prefers CAA-ri as the umbrella term and reserves ABRA/CAA-related vasculitis for pathologically demonstrated angio-destructive disease.</w:t>
      </w:r>
    </w:p>
    <w:p>
      <w:pPr>
        <w:keepNext/>
        <w:spacing w:before="160" w:after="80"/>
      </w:pPr>
      <w:r>
        <w:rPr>
          <w:rFonts w:ascii="Calibri" w:hAnsi="Calibri"/>
          <w:b/>
          <w:color w:val="1F4D78"/>
          <w:sz w:val="22"/>
        </w:rPr>
        <w:t>Probable CAA-ri: the clinicoradiologic pattern</w:t>
      </w:r>
    </w:p>
    <w:p>
      <w:pPr>
        <w:spacing w:before="0" w:after="120" w:line="300" w:lineRule="auto"/>
      </w:pPr>
      <w:r>
        <w:rPr>
          <w:rFonts w:ascii="Calibri" w:hAnsi="Calibri"/>
          <w:color w:val="000000"/>
          <w:sz w:val="22"/>
        </w:rPr>
        <w:t>The validated 2016 framework requires:</w:t>
      </w:r>
    </w:p>
    <w:p>
      <w:pPr>
        <w:numPr>
          <w:ilvl w:val="0"/>
          <w:numId w:val="10"/>
        </w:numPr>
        <w:spacing w:before="0" w:after="80" w:line="300" w:lineRule="auto"/>
      </w:pPr>
      <w:r>
        <w:rPr>
          <w:rFonts w:ascii="Calibri" w:hAnsi="Calibri"/>
          <w:color w:val="000000"/>
          <w:sz w:val="22"/>
        </w:rPr>
        <w:t>age 40 years or older;</w:t>
      </w:r>
    </w:p>
    <w:p>
      <w:pPr>
        <w:numPr>
          <w:ilvl w:val="0"/>
          <w:numId w:val="10"/>
        </w:numPr>
        <w:spacing w:before="0" w:after="80" w:line="300" w:lineRule="auto"/>
      </w:pPr>
      <w:r>
        <w:rPr>
          <w:rFonts w:ascii="Calibri" w:hAnsi="Calibri"/>
          <w:color w:val="000000"/>
          <w:sz w:val="22"/>
        </w:rPr>
        <w:t>acute or subacute compatible symptoms such as headache, impaired consciousness or behavior, focal neurologic deficits, or seizures, not directly explained by an acute ICH;</w:t>
      </w:r>
    </w:p>
    <w:p>
      <w:pPr>
        <w:numPr>
          <w:ilvl w:val="0"/>
          <w:numId w:val="10"/>
        </w:numPr>
        <w:spacing w:before="0" w:after="80" w:line="300" w:lineRule="auto"/>
      </w:pPr>
      <w:r>
        <w:rPr>
          <w:rFonts w:ascii="Calibri" w:hAnsi="Calibri"/>
          <w:color w:val="000000"/>
          <w:sz w:val="22"/>
        </w:rPr>
        <w:t>unifocal or multifocal corticosubcortical or deep WMH that is asymmetric and extends to immediately subcortical white matter, with asymmetry not explained by prior ICH;</w:t>
      </w:r>
    </w:p>
    <w:p>
      <w:pPr>
        <w:numPr>
          <w:ilvl w:val="0"/>
          <w:numId w:val="10"/>
        </w:numPr>
        <w:spacing w:before="0" w:after="80" w:line="300" w:lineRule="auto"/>
      </w:pPr>
      <w:r>
        <w:rPr>
          <w:rFonts w:ascii="Calibri" w:hAnsi="Calibri"/>
          <w:color w:val="000000"/>
          <w:sz w:val="22"/>
        </w:rPr>
        <w:t>at least one corticosubcortical hemorrhagic lesion such as macrohemorrhage, microbleed, or cSS; and</w:t>
      </w:r>
    </w:p>
    <w:p>
      <w:pPr>
        <w:numPr>
          <w:ilvl w:val="0"/>
          <w:numId w:val="10"/>
        </w:numPr>
        <w:spacing w:before="0" w:after="80" w:line="300" w:lineRule="auto"/>
      </w:pPr>
      <w:r>
        <w:rPr>
          <w:rFonts w:ascii="Calibri" w:hAnsi="Calibri"/>
          <w:color w:val="000000"/>
          <w:sz w:val="22"/>
        </w:rPr>
        <w:t>exclusion of neoplastic, infectious, and other causes.</w:t>
      </w:r>
    </w:p>
    <w:p>
      <w:pPr>
        <w:spacing w:before="0" w:after="120" w:line="300" w:lineRule="auto"/>
      </w:pPr>
      <w:r>
        <w:rPr>
          <w:rFonts w:ascii="Calibri" w:hAnsi="Calibri"/>
          <w:color w:val="000000"/>
          <w:sz w:val="22"/>
        </w:rPr>
        <w:t>In the original validation, probable CAA-ri achieved reported sensitivity of 82% and specificity of 97%; possible CAA-ri was less specific. Definite diagnosis requires tissue showing vascular amyloid plus appropriate perivascular, intramural, or transmural inflammation. Because disease is patchy, biopsy site selection matters and a negative biopsy may not exclude it.</w:t>
      </w:r>
    </w:p>
    <w:p>
      <w:pPr>
        <w:keepNext/>
        <w:spacing w:before="160" w:after="80"/>
      </w:pPr>
      <w:r>
        <w:rPr>
          <w:rFonts w:ascii="Calibri" w:hAnsi="Calibri"/>
          <w:b/>
          <w:color w:val="1F4D78"/>
          <w:sz w:val="22"/>
        </w:rPr>
        <w:t>Distinguish three related phenomena</w:t>
      </w:r>
    </w:p>
    <w:tbl>
      <w:tblPr>
        <w:tblStyle w:val="TableGrid"/>
        <w:tblW w:type="dxa" w:w="9360"/>
        <w:jc w:val="left"/>
        <w:tblLayout w:type="fixed"/>
        <w:tblLook w:firstColumn="1" w:firstRow="1" w:lastColumn="0" w:lastRow="0" w:noHBand="0" w:noVBand="1" w:val="04A0"/>
        <w:tblInd w:w="120" w:type="dxa"/>
      </w:tblPr>
      <w:tblGrid>
        <w:gridCol w:w="1337"/>
        <w:gridCol w:w="2674"/>
        <w:gridCol w:w="2674"/>
        <w:gridCol w:w="2675"/>
      </w:tblGrid>
      <w:tr>
        <w:trPr>
          <w:tblHeader w:val="true"/>
          <w:cantSplit/>
        </w:trPr>
        <w:tc>
          <w:tcPr>
            <w:tcW w:type="dxa" w:w="1337"/>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Phenomenon</w:t>
            </w:r>
          </w:p>
        </w:tc>
        <w:tc>
          <w:tcPr>
            <w:tcW w:type="dxa" w:w="267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Trigger/context</w:t>
            </w:r>
          </w:p>
        </w:tc>
        <w:tc>
          <w:tcPr>
            <w:tcW w:type="dxa" w:w="267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Typical imaging concept</w:t>
            </w:r>
          </w:p>
        </w:tc>
        <w:tc>
          <w:tcPr>
            <w:tcW w:type="dxa" w:w="2675"/>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Key distinction</w:t>
            </w:r>
          </w:p>
        </w:tc>
      </w:tr>
      <w:tr>
        <w:trPr>
          <w:cantSplit/>
        </w:trPr>
        <w:tc>
          <w:tcPr>
            <w:tcW w:type="dxa" w:w="1337"/>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Non-inflammatory CAA</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Spontaneous age-related/hereditary vascular amyloid</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Lobar CMB/ICH, cSAH/cSS, WM injury</w:t>
            </w:r>
          </w:p>
        </w:tc>
        <w:tc>
          <w:tcPr>
            <w:tcW w:type="dxa" w:w="2675"/>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No required acute inflammatory syndrome</w:t>
            </w:r>
          </w:p>
        </w:tc>
      </w:tr>
      <w:tr>
        <w:trPr>
          <w:cantSplit/>
        </w:trPr>
        <w:tc>
          <w:tcPr>
            <w:tcW w:type="dxa" w:w="1337"/>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CAA-ri</w:t>
            </w:r>
          </w:p>
        </w:tc>
        <w:tc>
          <w:tcPr>
            <w:tcW w:type="dxa" w:w="267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Spontaneous immune response associated with vascular amyloid</w:t>
            </w:r>
          </w:p>
        </w:tc>
        <w:tc>
          <w:tcPr>
            <w:tcW w:type="dxa" w:w="267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Asymmetric vasogenic edema plus hemorrhagic markers, sometimes enhancement</w:t>
            </w:r>
          </w:p>
        </w:tc>
        <w:tc>
          <w:tcPr>
            <w:tcW w:type="dxa" w:w="2675"/>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Subacute syndrome; can respond to immunosuppression</w:t>
            </w:r>
          </w:p>
        </w:tc>
      </w:tr>
      <w:tr>
        <w:trPr>
          <w:cantSplit/>
        </w:trPr>
        <w:tc>
          <w:tcPr>
            <w:tcW w:type="dxa" w:w="1337"/>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ARIA</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Anti-Aβ treatment context</w:t>
            </w:r>
          </w:p>
        </w:tc>
        <w:tc>
          <w:tcPr>
            <w:tcW w:type="dxa" w:w="267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ARIA-E edema/effusion; ARIA-H microhemorrhage/siderosis</w:t>
            </w:r>
          </w:p>
        </w:tc>
        <w:tc>
          <w:tcPr>
            <w:tcW w:type="dxa" w:w="2675"/>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Treatment-emergent entity with protocol-specific grading and monitoring</w:t>
            </w:r>
          </w:p>
        </w:tc>
      </w:tr>
    </w:tbl>
    <w:p>
      <w:pPr>
        <w:spacing w:before="0" w:after="40" w:line="240" w:lineRule="auto"/>
      </w:pPr>
    </w:p>
    <w:p>
      <w:pPr>
        <w:spacing w:before="0" w:after="120" w:line="300" w:lineRule="auto"/>
      </w:pPr>
      <w:r>
        <w:rPr>
          <w:rFonts w:ascii="Calibri" w:hAnsi="Calibri"/>
          <w:color w:val="000000"/>
          <w:sz w:val="22"/>
        </w:rPr>
        <w:t>Their overlap is mechanistically informative but they are not synonyms.</w:t>
      </w:r>
    </w:p>
    <w:p>
      <w:bookmarkStart w:id="40" w:name="section_031"/>
      <w:pPr>
        <w:pStyle w:val="Heading2"/>
      </w:pPr>
      <w:r>
        <w:t>6. Neuropathology standards for arteriolosclerosis and CAA</w:t>
      </w:r>
      <w:bookmarkEnd w:id="40"/>
    </w:p>
    <w:p>
      <w:pPr>
        <w:keepNext/>
        <w:spacing w:before="160" w:after="80"/>
      </w:pPr>
      <w:r>
        <w:rPr>
          <w:rFonts w:ascii="Calibri" w:hAnsi="Calibri"/>
          <w:b/>
          <w:color w:val="1F4D78"/>
          <w:sz w:val="22"/>
        </w:rPr>
        <w:t>B-ASC assessment</w:t>
      </w:r>
    </w:p>
    <w:p>
      <w:pPr>
        <w:spacing w:before="0" w:after="120" w:line="300" w:lineRule="auto"/>
      </w:pPr>
      <w:r>
        <w:rPr>
          <w:rFonts w:ascii="Calibri" w:hAnsi="Calibri"/>
          <w:color w:val="000000"/>
          <w:sz w:val="22"/>
        </w:rPr>
        <w:t>Common semiquantitative scales grade none, mild, moderate, or severe arteriolosclerosis, often in occipital white matter or multiple prespecified regions. Severe disease can include marked wall thickening, splitting/degeneration of the media, luminal narrowing or occlusion, and associated changes. Quantitative sclerotic indices measure wall-to-lumen geometry.</w:t>
      </w:r>
    </w:p>
    <w:p>
      <w:pPr>
        <w:spacing w:before="0" w:after="120" w:line="300" w:lineRule="auto"/>
      </w:pPr>
      <w:r>
        <w:rPr>
          <w:rFonts w:ascii="Calibri" w:hAnsi="Calibri"/>
          <w:color w:val="000000"/>
          <w:sz w:val="22"/>
        </w:rPr>
        <w:t>Minimum reporting should include:</w:t>
      </w:r>
    </w:p>
    <w:p>
      <w:pPr>
        <w:numPr>
          <w:ilvl w:val="0"/>
          <w:numId w:val="10"/>
        </w:numPr>
        <w:spacing w:before="0" w:after="80" w:line="300" w:lineRule="auto"/>
      </w:pPr>
      <w:r>
        <w:rPr>
          <w:rFonts w:ascii="Calibri" w:hAnsi="Calibri"/>
          <w:color w:val="000000"/>
          <w:sz w:val="22"/>
        </w:rPr>
        <w:t>sampled regions and number of blocks;</w:t>
      </w:r>
    </w:p>
    <w:p>
      <w:pPr>
        <w:numPr>
          <w:ilvl w:val="0"/>
          <w:numId w:val="10"/>
        </w:numPr>
        <w:spacing w:before="0" w:after="80" w:line="300" w:lineRule="auto"/>
      </w:pPr>
      <w:r>
        <w:rPr>
          <w:rFonts w:ascii="Calibri" w:hAnsi="Calibri"/>
          <w:color w:val="000000"/>
          <w:sz w:val="22"/>
        </w:rPr>
        <w:t>vessel compartment and size definition;</w:t>
      </w:r>
    </w:p>
    <w:p>
      <w:pPr>
        <w:numPr>
          <w:ilvl w:val="0"/>
          <w:numId w:val="10"/>
        </w:numPr>
        <w:spacing w:before="0" w:after="80" w:line="300" w:lineRule="auto"/>
      </w:pPr>
      <w:r>
        <w:rPr>
          <w:rFonts w:ascii="Calibri" w:hAnsi="Calibri"/>
          <w:color w:val="000000"/>
          <w:sz w:val="22"/>
        </w:rPr>
        <w:t>stains and immunohistochemistry;</w:t>
      </w:r>
    </w:p>
    <w:p>
      <w:pPr>
        <w:numPr>
          <w:ilvl w:val="0"/>
          <w:numId w:val="10"/>
        </w:numPr>
        <w:spacing w:before="0" w:after="80" w:line="300" w:lineRule="auto"/>
      </w:pPr>
      <w:r>
        <w:rPr>
          <w:rFonts w:ascii="Calibri" w:hAnsi="Calibri"/>
          <w:color w:val="000000"/>
          <w:sz w:val="22"/>
        </w:rPr>
        <w:t>grading rubric and whether the worst, mean, or regional score was used;</w:t>
      </w:r>
    </w:p>
    <w:p>
      <w:pPr>
        <w:numPr>
          <w:ilvl w:val="0"/>
          <w:numId w:val="10"/>
        </w:numPr>
        <w:spacing w:before="0" w:after="80" w:line="300" w:lineRule="auto"/>
      </w:pPr>
      <w:r>
        <w:rPr>
          <w:rFonts w:ascii="Calibri" w:hAnsi="Calibri"/>
          <w:color w:val="000000"/>
          <w:sz w:val="22"/>
        </w:rPr>
        <w:t>interrater reliability and adjudication;</w:t>
      </w:r>
    </w:p>
    <w:p>
      <w:pPr>
        <w:numPr>
          <w:ilvl w:val="0"/>
          <w:numId w:val="10"/>
        </w:numPr>
        <w:spacing w:before="0" w:after="80" w:line="300" w:lineRule="auto"/>
      </w:pPr>
      <w:r>
        <w:rPr>
          <w:rFonts w:ascii="Calibri" w:hAnsi="Calibri"/>
          <w:color w:val="000000"/>
          <w:sz w:val="22"/>
        </w:rPr>
        <w:t>whether CAA, inflammation, fibrinoid necrosis, mineralization, and atherosclerosis were separately rated;</w:t>
      </w:r>
    </w:p>
    <w:p>
      <w:pPr>
        <w:numPr>
          <w:ilvl w:val="0"/>
          <w:numId w:val="10"/>
        </w:numPr>
        <w:spacing w:before="0" w:after="80" w:line="300" w:lineRule="auto"/>
      </w:pPr>
      <w:r>
        <w:rPr>
          <w:rFonts w:ascii="Calibri" w:hAnsi="Calibri"/>
          <w:color w:val="000000"/>
          <w:sz w:val="22"/>
        </w:rPr>
        <w:t>postmortem interval, fixation, section thickness, and image-analysis method.</w:t>
      </w:r>
    </w:p>
    <w:p>
      <w:pPr>
        <w:keepNext/>
        <w:spacing w:before="160" w:after="80"/>
      </w:pPr>
      <w:r>
        <w:rPr>
          <w:rFonts w:ascii="Calibri" w:hAnsi="Calibri"/>
          <w:b/>
          <w:color w:val="1F4D78"/>
          <w:sz w:val="22"/>
        </w:rPr>
        <w:t>CAA assessment</w:t>
      </w:r>
    </w:p>
    <w:p>
      <w:pPr>
        <w:spacing w:before="0" w:after="120" w:line="300" w:lineRule="auto"/>
      </w:pPr>
      <w:r>
        <w:rPr>
          <w:rFonts w:ascii="Calibri" w:hAnsi="Calibri"/>
          <w:color w:val="000000"/>
          <w:sz w:val="22"/>
        </w:rPr>
        <w:t>CAA should be characterized by compartment (leptomeningeal, cortical, capillary), region, severity, and vasculopathic change. Aβ immunohistochemistry and Congo red/polarization are complementary. Consensus protocols such as Love et al. and neuropathology data systems improve comparability, but regional sampling remains a fundamental limitation.</w:t>
      </w:r>
    </w:p>
    <w:p>
      <w:pPr>
        <w:keepNext/>
        <w:spacing w:before="160" w:after="80"/>
      </w:pPr>
      <w:r>
        <w:rPr>
          <w:rFonts w:ascii="Calibri" w:hAnsi="Calibri"/>
          <w:b/>
          <w:color w:val="1F4D78"/>
          <w:sz w:val="22"/>
        </w:rPr>
        <w:t>VCING</w:t>
      </w:r>
    </w:p>
    <w:p>
      <w:pPr>
        <w:spacing w:before="0" w:after="120" w:line="300" w:lineRule="auto"/>
      </w:pPr>
      <w:r>
        <w:rPr>
          <w:rFonts w:ascii="Calibri" w:hAnsi="Calibri"/>
          <w:color w:val="000000"/>
          <w:sz w:val="22"/>
        </w:rPr>
        <w:t>The Vascular Cognitive Impairment Neuropathology Guidelines integrate arteriolosclerosis, infarcts, hemorrhage, CAA, myelin loss, PVS dilation, hemosiderin leakage, and large-artery atheroma to estimate the likelihood that cerebrovascular disease contributed to cognitive impairment. VCING is an attribution framework, not a direct antemortem diagnostic test.</w:t>
      </w:r>
    </w:p>
    <w:p>
      <w:bookmarkStart w:id="41" w:name="section_032"/>
      <w:pPr>
        <w:pStyle w:val="Heading2"/>
      </w:pPr>
      <w:r>
        <w:t>7. Visual rating instruments and burden scores</w:t>
      </w:r>
      <w:bookmarkEnd w:id="41"/>
    </w:p>
    <w:p>
      <w:pPr>
        <w:keepNext/>
        <w:spacing w:before="160" w:after="80"/>
      </w:pPr>
      <w:r>
        <w:rPr>
          <w:rFonts w:ascii="Calibri" w:hAnsi="Calibri"/>
          <w:b/>
          <w:color w:val="1F4D78"/>
          <w:sz w:val="22"/>
        </w:rPr>
        <w:t>Microbleeds</w:t>
      </w:r>
    </w:p>
    <w:p>
      <w:pPr>
        <w:numPr>
          <w:ilvl w:val="0"/>
          <w:numId w:val="10"/>
        </w:numPr>
        <w:spacing w:before="0" w:after="80" w:line="300" w:lineRule="auto"/>
      </w:pPr>
      <w:r>
        <w:rPr>
          <w:rFonts w:ascii="Calibri" w:hAnsi="Calibri"/>
          <w:b/>
          <w:color w:val="000000"/>
          <w:sz w:val="22"/>
        </w:rPr>
        <w:t>MARS (Microbleed Anatomical Rating Scale):</w:t>
      </w:r>
      <w:r>
        <w:rPr>
          <w:rFonts w:ascii="Calibri" w:hAnsi="Calibri"/>
          <w:color w:val="000000"/>
          <w:sz w:val="22"/>
        </w:rPr>
        <w:t xml:space="preserve"> records definite/possible microbleeds and their lobar, deep, and infratentorial locations; designed for reproducibility across observers and sequences.</w:t>
      </w:r>
    </w:p>
    <w:p>
      <w:pPr>
        <w:numPr>
          <w:ilvl w:val="0"/>
          <w:numId w:val="10"/>
        </w:numPr>
        <w:spacing w:before="0" w:after="80" w:line="300" w:lineRule="auto"/>
      </w:pPr>
      <w:r>
        <w:rPr>
          <w:rFonts w:ascii="Calibri" w:hAnsi="Calibri"/>
          <w:b/>
          <w:color w:val="000000"/>
          <w:sz w:val="22"/>
        </w:rPr>
        <w:t>BOMBS (Brain Observer MicroBleed Scale):</w:t>
      </w:r>
      <w:r>
        <w:rPr>
          <w:rFonts w:ascii="Calibri" w:hAnsi="Calibri"/>
          <w:color w:val="000000"/>
          <w:sz w:val="22"/>
        </w:rPr>
        <w:t xml:space="preserve"> structured assessment developed around common disagreement sources and anatomic distribution.</w:t>
      </w:r>
    </w:p>
    <w:p>
      <w:pPr>
        <w:spacing w:before="0" w:after="120" w:line="300" w:lineRule="auto"/>
      </w:pPr>
      <w:r>
        <w:rPr>
          <w:rFonts w:ascii="Calibri" w:hAnsi="Calibri"/>
          <w:color w:val="000000"/>
          <w:sz w:val="22"/>
        </w:rPr>
        <w:t>Both improve measurement reliability. Neither converts location into pathologic certainty.</w:t>
      </w:r>
    </w:p>
    <w:p>
      <w:pPr>
        <w:keepNext/>
        <w:spacing w:before="160" w:after="80"/>
      </w:pPr>
      <w:r>
        <w:rPr>
          <w:rFonts w:ascii="Calibri" w:hAnsi="Calibri"/>
          <w:b/>
          <w:color w:val="1F4D78"/>
          <w:sz w:val="22"/>
        </w:rPr>
        <w:t>White-matter hyperintensities</w:t>
      </w:r>
    </w:p>
    <w:p>
      <w:pPr>
        <w:numPr>
          <w:ilvl w:val="0"/>
          <w:numId w:val="10"/>
        </w:numPr>
        <w:spacing w:before="0" w:after="80" w:line="300" w:lineRule="auto"/>
      </w:pPr>
      <w:r>
        <w:rPr>
          <w:rFonts w:ascii="Calibri" w:hAnsi="Calibri"/>
          <w:b/>
          <w:color w:val="000000"/>
          <w:sz w:val="22"/>
        </w:rPr>
        <w:t>Fazekas scale:</w:t>
      </w:r>
      <w:r>
        <w:rPr>
          <w:rFonts w:ascii="Calibri" w:hAnsi="Calibri"/>
          <w:color w:val="000000"/>
          <w:sz w:val="22"/>
        </w:rPr>
        <w:t xml:space="preserve"> separate ordinal ratings for periventricular and deep WMH. It is fast and widely used, but coarse and subject to ceiling effects.</w:t>
      </w:r>
    </w:p>
    <w:p>
      <w:pPr>
        <w:numPr>
          <w:ilvl w:val="0"/>
          <w:numId w:val="10"/>
        </w:numPr>
        <w:spacing w:before="0" w:after="80" w:line="300" w:lineRule="auto"/>
      </w:pPr>
      <w:r>
        <w:rPr>
          <w:rFonts w:ascii="Calibri" w:hAnsi="Calibri"/>
          <w:b/>
          <w:color w:val="000000"/>
          <w:sz w:val="22"/>
        </w:rPr>
        <w:t>Scheltens scale:</w:t>
      </w:r>
      <w:r>
        <w:rPr>
          <w:rFonts w:ascii="Calibri" w:hAnsi="Calibri"/>
          <w:color w:val="000000"/>
          <w:sz w:val="22"/>
        </w:rPr>
        <w:t xml:space="preserve"> more regionally detailed.</w:t>
      </w:r>
    </w:p>
    <w:p>
      <w:pPr>
        <w:numPr>
          <w:ilvl w:val="0"/>
          <w:numId w:val="10"/>
        </w:numPr>
        <w:spacing w:before="0" w:after="80" w:line="300" w:lineRule="auto"/>
      </w:pPr>
      <w:r>
        <w:rPr>
          <w:rFonts w:ascii="Calibri" w:hAnsi="Calibri"/>
          <w:color w:val="000000"/>
          <w:sz w:val="22"/>
        </w:rPr>
        <w:t>Quantitative WMH volume is more continuous but sensitive to algorithm, training data, preprocessing, scanner, and manual correction.</w:t>
      </w:r>
    </w:p>
    <w:p>
      <w:pPr>
        <w:keepNext/>
        <w:spacing w:before="160" w:after="80"/>
      </w:pPr>
      <w:r>
        <w:rPr>
          <w:rFonts w:ascii="Calibri" w:hAnsi="Calibri"/>
          <w:b/>
          <w:color w:val="1F4D78"/>
          <w:sz w:val="22"/>
        </w:rPr>
        <w:t>Perivascular spaces</w:t>
      </w:r>
    </w:p>
    <w:p>
      <w:pPr>
        <w:spacing w:before="0" w:after="120" w:line="300" w:lineRule="auto"/>
      </w:pPr>
      <w:r>
        <w:rPr>
          <w:rFonts w:ascii="Calibri" w:hAnsi="Calibri"/>
          <w:color w:val="000000"/>
          <w:sz w:val="22"/>
        </w:rPr>
        <w:t>Visual scales commonly rate the number of PVS in the basal ganglia and centrum semiovale using the most affected slice/hemisphere and ordinal categories. Region matters: basal-ganglia PVS are often associated with non-amyloid arteriopathy, while severe centrum semiovale PVS support CAA in a compatible setting. These are group-level tendencies with overlap.</w:t>
      </w:r>
    </w:p>
    <w:p>
      <w:pPr>
        <w:keepNext/>
        <w:spacing w:before="160" w:after="80"/>
      </w:pPr>
      <w:r>
        <w:rPr>
          <w:rFonts w:ascii="Calibri" w:hAnsi="Calibri"/>
          <w:b/>
          <w:color w:val="1F4D78"/>
          <w:sz w:val="22"/>
        </w:rPr>
        <w:t>Total SVD score (general/non-amyloid-oriented)</w:t>
      </w:r>
    </w:p>
    <w:p>
      <w:pPr>
        <w:spacing w:before="0" w:after="120" w:line="300" w:lineRule="auto"/>
      </w:pPr>
      <w:r>
        <w:rPr>
          <w:rFonts w:ascii="Calibri" w:hAnsi="Calibri"/>
          <w:color w:val="000000"/>
          <w:sz w:val="22"/>
        </w:rPr>
        <w:t>The widely used 0-4 score assigns one point each for a qualifying burden of lacunes, CMBs, basal-ganglia PVS, and WMH. It is interpretable and useful for burden stratification but compresses heterogeneous lesions, thresholds continuous variables, weights each component equally, and changes meaning when components or cutoffs are modified.</w:t>
      </w:r>
    </w:p>
    <w:p>
      <w:pPr>
        <w:keepNext/>
        <w:spacing w:before="160" w:after="80"/>
      </w:pPr>
      <w:r>
        <w:rPr>
          <w:rFonts w:ascii="Calibri" w:hAnsi="Calibri"/>
          <w:b/>
          <w:color w:val="1F4D78"/>
          <w:sz w:val="22"/>
        </w:rPr>
        <w:t>CAA-SVD score</w:t>
      </w:r>
    </w:p>
    <w:p>
      <w:pPr>
        <w:spacing w:before="0" w:after="120" w:line="300" w:lineRule="auto"/>
      </w:pPr>
      <w:r>
        <w:rPr>
          <w:rFonts w:ascii="Calibri" w:hAnsi="Calibri"/>
          <w:color w:val="000000"/>
          <w:sz w:val="22"/>
        </w:rPr>
        <w:t>The 0-6 CAA-oriented score typically includes:</w:t>
      </w:r>
    </w:p>
    <w:p>
      <w:pPr>
        <w:numPr>
          <w:ilvl w:val="0"/>
          <w:numId w:val="10"/>
        </w:numPr>
        <w:spacing w:before="0" w:after="80" w:line="300" w:lineRule="auto"/>
      </w:pPr>
      <w:r>
        <w:rPr>
          <w:rFonts w:ascii="Calibri" w:hAnsi="Calibri"/>
          <w:color w:val="000000"/>
          <w:sz w:val="22"/>
        </w:rPr>
        <w:t>2-4 lobar CMBs: 1 point; at least 5: 2 points;</w:t>
      </w:r>
    </w:p>
    <w:p>
      <w:pPr>
        <w:numPr>
          <w:ilvl w:val="0"/>
          <w:numId w:val="10"/>
        </w:numPr>
        <w:spacing w:before="0" w:after="80" w:line="300" w:lineRule="auto"/>
      </w:pPr>
      <w:r>
        <w:rPr>
          <w:rFonts w:ascii="Calibri" w:hAnsi="Calibri"/>
          <w:color w:val="000000"/>
          <w:sz w:val="22"/>
        </w:rPr>
        <w:t>focal cSS (up to 3 sulci): 1 point; disseminated cSS (4 or more sulci): 2 points;</w:t>
      </w:r>
    </w:p>
    <w:p>
      <w:pPr>
        <w:numPr>
          <w:ilvl w:val="0"/>
          <w:numId w:val="10"/>
        </w:numPr>
        <w:spacing w:before="0" w:after="80" w:line="300" w:lineRule="auto"/>
      </w:pPr>
      <w:r>
        <w:rPr>
          <w:rFonts w:ascii="Calibri" w:hAnsi="Calibri"/>
          <w:color w:val="000000"/>
          <w:sz w:val="22"/>
        </w:rPr>
        <w:t>more than 20 centrum semiovale PVS: 1 point;</w:t>
      </w:r>
    </w:p>
    <w:p>
      <w:pPr>
        <w:numPr>
          <w:ilvl w:val="0"/>
          <w:numId w:val="10"/>
        </w:numPr>
        <w:spacing w:before="0" w:after="80" w:line="300" w:lineRule="auto"/>
      </w:pPr>
      <w:r>
        <w:rPr>
          <w:rFonts w:ascii="Calibri" w:hAnsi="Calibri"/>
          <w:color w:val="000000"/>
          <w:sz w:val="22"/>
        </w:rPr>
        <w:t>confluent deep or irregular periventricular WMH meeting defined Fazekas thresholds: 1 point.</w:t>
      </w:r>
    </w:p>
    <w:p>
      <w:pPr>
        <w:spacing w:before="0" w:after="120" w:line="300" w:lineRule="auto"/>
      </w:pPr>
      <w:r>
        <w:rPr>
          <w:rFonts w:ascii="Calibri" w:hAnsi="Calibri"/>
          <w:color w:val="000000"/>
          <w:sz w:val="22"/>
        </w:rPr>
        <w:t>It summarizes visible CAA-associated burden; it is not the Boston diagnostic criteria. Avoid calling a modified score "the CAA-SVD score" without listing exact components.</w:t>
      </w:r>
    </w:p>
    <w:p>
      <w:bookmarkStart w:id="42" w:name="section_033"/>
      <w:pPr>
        <w:pStyle w:val="Heading2"/>
      </w:pPr>
      <w:r>
        <w:t>8. A criteria application checklist for research</w:t>
      </w:r>
      <w:bookmarkEnd w:id="42"/>
    </w:p>
    <w:p>
      <w:pPr>
        <w:numPr>
          <w:ilvl w:val="0"/>
          <w:numId w:val="16"/>
        </w:numPr>
        <w:spacing w:before="0" w:after="80" w:line="300" w:lineRule="auto"/>
      </w:pPr>
      <w:r>
        <w:rPr>
          <w:rFonts w:ascii="Calibri" w:hAnsi="Calibri"/>
          <w:color w:val="000000"/>
          <w:sz w:val="22"/>
        </w:rPr>
        <w:t>Define the eligible clinical presentation and age range.</w:t>
      </w:r>
    </w:p>
    <w:p>
      <w:pPr>
        <w:numPr>
          <w:ilvl w:val="0"/>
          <w:numId w:val="16"/>
        </w:numPr>
        <w:spacing w:before="0" w:after="80" w:line="300" w:lineRule="auto"/>
      </w:pPr>
      <w:r>
        <w:rPr>
          <w:rFonts w:ascii="Calibri" w:hAnsi="Calibri"/>
          <w:color w:val="000000"/>
          <w:sz w:val="22"/>
        </w:rPr>
        <w:t>Verify MRI contains an adequate susceptibility-sensitive sequence; record GRE versus SWI and parameters.</w:t>
      </w:r>
    </w:p>
    <w:p>
      <w:pPr>
        <w:numPr>
          <w:ilvl w:val="0"/>
          <w:numId w:val="16"/>
        </w:numPr>
        <w:spacing w:before="0" w:after="80" w:line="300" w:lineRule="auto"/>
      </w:pPr>
      <w:r>
        <w:rPr>
          <w:rFonts w:ascii="Calibri" w:hAnsi="Calibri"/>
          <w:color w:val="000000"/>
          <w:sz w:val="22"/>
        </w:rPr>
        <w:t>Exclude alternative causes before counting lesions toward CAA.</w:t>
      </w:r>
    </w:p>
    <w:p>
      <w:pPr>
        <w:numPr>
          <w:ilvl w:val="0"/>
          <w:numId w:val="16"/>
        </w:numPr>
        <w:spacing w:before="0" w:after="80" w:line="300" w:lineRule="auto"/>
      </w:pPr>
      <w:r>
        <w:rPr>
          <w:rFonts w:ascii="Calibri" w:hAnsi="Calibri"/>
          <w:color w:val="000000"/>
          <w:sz w:val="22"/>
        </w:rPr>
        <w:t>Map every hemorrhagic lesion as lobar, deep, infratentorial/cerebellar, or uncertain using a prespecified atlas/rule.</w:t>
      </w:r>
    </w:p>
    <w:p>
      <w:pPr>
        <w:numPr>
          <w:ilvl w:val="0"/>
          <w:numId w:val="16"/>
        </w:numPr>
        <w:spacing w:before="0" w:after="80" w:line="300" w:lineRule="auto"/>
      </w:pPr>
      <w:r>
        <w:rPr>
          <w:rFonts w:ascii="Calibri" w:hAnsi="Calibri"/>
          <w:color w:val="000000"/>
          <w:sz w:val="22"/>
        </w:rPr>
        <w:t>Distinguish cortical ribbon from juxtacortical and subcortical white matter when possible.</w:t>
      </w:r>
    </w:p>
    <w:p>
      <w:pPr>
        <w:numPr>
          <w:ilvl w:val="0"/>
          <w:numId w:val="16"/>
        </w:numPr>
        <w:spacing w:before="0" w:after="80" w:line="300" w:lineRule="auto"/>
      </w:pPr>
      <w:r>
        <w:rPr>
          <w:rFonts w:ascii="Calibri" w:hAnsi="Calibri"/>
          <w:color w:val="000000"/>
          <w:sz w:val="22"/>
        </w:rPr>
        <w:t>Rate cSS/cSAH foci independently from CMB count.</w:t>
      </w:r>
    </w:p>
    <w:p>
      <w:pPr>
        <w:numPr>
          <w:ilvl w:val="0"/>
          <w:numId w:val="16"/>
        </w:numPr>
        <w:spacing w:before="0" w:after="80" w:line="300" w:lineRule="auto"/>
      </w:pPr>
      <w:r>
        <w:rPr>
          <w:rFonts w:ascii="Calibri" w:hAnsi="Calibri"/>
          <w:color w:val="000000"/>
          <w:sz w:val="22"/>
        </w:rPr>
        <w:t>Apply severe CSO-PVS and WMH-multispot definitions exactly.</w:t>
      </w:r>
    </w:p>
    <w:p>
      <w:pPr>
        <w:numPr>
          <w:ilvl w:val="0"/>
          <w:numId w:val="16"/>
        </w:numPr>
        <w:spacing w:before="0" w:after="80" w:line="300" w:lineRule="auto"/>
      </w:pPr>
      <w:r>
        <w:rPr>
          <w:rFonts w:ascii="Calibri" w:hAnsi="Calibri"/>
          <w:color w:val="000000"/>
          <w:sz w:val="22"/>
        </w:rPr>
        <w:t>Record the final diagnostic category and each component so the classification is auditable.</w:t>
      </w:r>
    </w:p>
    <w:p>
      <w:pPr>
        <w:numPr>
          <w:ilvl w:val="0"/>
          <w:numId w:val="16"/>
        </w:numPr>
        <w:spacing w:before="0" w:after="80" w:line="300" w:lineRule="auto"/>
      </w:pPr>
      <w:r>
        <w:rPr>
          <w:rFonts w:ascii="Calibri" w:hAnsi="Calibri"/>
          <w:color w:val="000000"/>
          <w:sz w:val="22"/>
        </w:rPr>
        <w:t>Preserve an "unclassifiable/insufficient imaging" state; do not force missing data to negative.</w:t>
      </w:r>
    </w:p>
    <w:p>
      <w:pPr>
        <w:numPr>
          <w:ilvl w:val="0"/>
          <w:numId w:val="16"/>
        </w:numPr>
        <w:spacing w:before="0" w:after="80" w:line="300" w:lineRule="auto"/>
      </w:pPr>
      <w:r>
        <w:rPr>
          <w:rFonts w:ascii="Calibri" w:hAnsi="Calibri"/>
          <w:color w:val="000000"/>
          <w:sz w:val="22"/>
        </w:rPr>
        <w:t>If using pathology, model region sampled and MRI-to-tissue interval.</w:t>
      </w:r>
    </w:p>
    <w:p>
      <w:pPr>
        <w:numPr>
          <w:ilvl w:val="0"/>
          <w:numId w:val="16"/>
        </w:numPr>
        <w:spacing w:before="0" w:after="80" w:line="300" w:lineRule="auto"/>
      </w:pPr>
      <w:r>
        <w:rPr>
          <w:rFonts w:ascii="Calibri" w:hAnsi="Calibri"/>
          <w:color w:val="000000"/>
          <w:sz w:val="22"/>
        </w:rPr>
        <w:t>Report reader training, blinding, reliability, adjudication, and scanner/sequence mix.</w:t>
      </w:r>
    </w:p>
    <w:p>
      <w:pPr>
        <w:numPr>
          <w:ilvl w:val="0"/>
          <w:numId w:val="16"/>
        </w:numPr>
        <w:spacing w:before="0" w:after="80" w:line="300" w:lineRule="auto"/>
      </w:pPr>
      <w:r>
        <w:rPr>
          <w:rFonts w:ascii="Calibri" w:hAnsi="Calibri"/>
          <w:color w:val="000000"/>
          <w:sz w:val="22"/>
        </w:rPr>
        <w:t>Perform sensitivity analyses for uncertain lesions and alternate thresholds.</w:t>
      </w:r>
    </w:p>
    <w:p>
      <w:bookmarkStart w:id="43" w:name="section_034"/>
      <w:pPr>
        <w:pStyle w:val="Heading2"/>
      </w:pPr>
      <w:r>
        <w:t>Key sources</w:t>
      </w:r>
      <w:bookmarkEnd w:id="43"/>
    </w:p>
    <w:p>
      <w:pPr>
        <w:numPr>
          <w:ilvl w:val="0"/>
          <w:numId w:val="10"/>
        </w:numPr>
        <w:spacing w:before="0" w:after="80" w:line="300" w:lineRule="auto"/>
      </w:pPr>
      <w:r>
        <w:rPr>
          <w:rFonts w:ascii="Calibri" w:hAnsi="Calibri"/>
          <w:color w:val="000000"/>
          <w:sz w:val="22"/>
        </w:rPr>
        <w:t xml:space="preserve">Charidimou A, et al. Boston criteria v2.0. </w:t>
      </w:r>
      <w:r>
        <w:rPr>
          <w:rFonts w:ascii="Calibri" w:hAnsi="Calibri"/>
          <w:i/>
          <w:color w:val="000000"/>
          <w:sz w:val="22"/>
        </w:rPr>
        <w:t>Lancet Neurology</w:t>
      </w:r>
      <w:r>
        <w:rPr>
          <w:rFonts w:ascii="Calibri" w:hAnsi="Calibri"/>
          <w:color w:val="000000"/>
          <w:sz w:val="22"/>
        </w:rPr>
        <w:t xml:space="preserve">. 2022. </w:t>
      </w:r>
      <w:hyperlink r:id="rId21">
        <w:r>
          <w:rPr>
            <w:rFonts w:ascii="Calibri" w:hAnsi="Calibri"/>
            <w:color w:val="2E74B5"/>
            <w:u w:val="single"/>
          </w:rPr>
          <w:t>doi:10.1016/S1474-4422(22)00208-3</w:t>
        </w:r>
      </w:hyperlink>
    </w:p>
    <w:p>
      <w:pPr>
        <w:numPr>
          <w:ilvl w:val="0"/>
          <w:numId w:val="10"/>
        </w:numPr>
        <w:spacing w:before="0" w:after="80" w:line="300" w:lineRule="auto"/>
      </w:pPr>
      <w:r>
        <w:rPr>
          <w:rFonts w:ascii="Calibri" w:hAnsi="Calibri"/>
          <w:color w:val="000000"/>
          <w:sz w:val="22"/>
        </w:rPr>
        <w:t xml:space="preserve">Duering M, et al. STRIVE-2. </w:t>
      </w:r>
      <w:r>
        <w:rPr>
          <w:rFonts w:ascii="Calibri" w:hAnsi="Calibri"/>
          <w:i/>
          <w:color w:val="000000"/>
          <w:sz w:val="22"/>
        </w:rPr>
        <w:t>Lancet Neurology</w:t>
      </w:r>
      <w:r>
        <w:rPr>
          <w:rFonts w:ascii="Calibri" w:hAnsi="Calibri"/>
          <w:color w:val="000000"/>
          <w:sz w:val="22"/>
        </w:rPr>
        <w:t xml:space="preserve">. 2023. </w:t>
      </w:r>
      <w:hyperlink r:id="rId15">
        <w:r>
          <w:rPr>
            <w:rFonts w:ascii="Calibri" w:hAnsi="Calibri"/>
            <w:color w:val="2E74B5"/>
            <w:u w:val="single"/>
          </w:rPr>
          <w:t>doi:10.1016/S1474-4422(23)00131-X</w:t>
        </w:r>
      </w:hyperlink>
    </w:p>
    <w:p>
      <w:pPr>
        <w:numPr>
          <w:ilvl w:val="0"/>
          <w:numId w:val="10"/>
        </w:numPr>
        <w:spacing w:before="0" w:after="80" w:line="300" w:lineRule="auto"/>
      </w:pPr>
      <w:r>
        <w:rPr>
          <w:rFonts w:ascii="Calibri" w:hAnsi="Calibri"/>
          <w:color w:val="000000"/>
          <w:sz w:val="22"/>
        </w:rPr>
        <w:t xml:space="preserve">Wardlaw JM, et al. STRIVE-1. </w:t>
      </w:r>
      <w:r>
        <w:rPr>
          <w:rFonts w:ascii="Calibri" w:hAnsi="Calibri"/>
          <w:i/>
          <w:color w:val="000000"/>
          <w:sz w:val="22"/>
        </w:rPr>
        <w:t>Lancet Neurology</w:t>
      </w:r>
      <w:r>
        <w:rPr>
          <w:rFonts w:ascii="Calibri" w:hAnsi="Calibri"/>
          <w:color w:val="000000"/>
          <w:sz w:val="22"/>
        </w:rPr>
        <w:t xml:space="preserve">. 2013. </w:t>
      </w:r>
      <w:hyperlink r:id="rId22">
        <w:r>
          <w:rPr>
            <w:rFonts w:ascii="Calibri" w:hAnsi="Calibri"/>
            <w:color w:val="2E74B5"/>
            <w:u w:val="single"/>
          </w:rPr>
          <w:t>doi:10.1016/S1474-4422(13)70047-8</w:t>
        </w:r>
      </w:hyperlink>
    </w:p>
    <w:p>
      <w:pPr>
        <w:numPr>
          <w:ilvl w:val="0"/>
          <w:numId w:val="10"/>
        </w:numPr>
        <w:spacing w:before="0" w:after="80" w:line="300" w:lineRule="auto"/>
      </w:pPr>
      <w:r>
        <w:rPr>
          <w:rFonts w:ascii="Calibri" w:hAnsi="Calibri"/>
          <w:color w:val="000000"/>
          <w:sz w:val="22"/>
        </w:rPr>
        <w:t xml:space="preserve">Rodrigues MA, et al. Edinburgh CT and genetic criteria. </w:t>
      </w:r>
      <w:r>
        <w:rPr>
          <w:rFonts w:ascii="Calibri" w:hAnsi="Calibri"/>
          <w:i/>
          <w:color w:val="000000"/>
          <w:sz w:val="22"/>
        </w:rPr>
        <w:t>Lancet Neurology</w:t>
      </w:r>
      <w:r>
        <w:rPr>
          <w:rFonts w:ascii="Calibri" w:hAnsi="Calibri"/>
          <w:color w:val="000000"/>
          <w:sz w:val="22"/>
        </w:rPr>
        <w:t xml:space="preserve">. 2018. </w:t>
      </w:r>
      <w:hyperlink r:id="rId23">
        <w:r>
          <w:rPr>
            <w:rFonts w:ascii="Calibri" w:hAnsi="Calibri"/>
            <w:color w:val="2E74B5"/>
            <w:u w:val="single"/>
          </w:rPr>
          <w:t>doi:10.1016/S1474-4422(18)30006-1</w:t>
        </w:r>
      </w:hyperlink>
    </w:p>
    <w:p>
      <w:pPr>
        <w:numPr>
          <w:ilvl w:val="0"/>
          <w:numId w:val="10"/>
        </w:numPr>
        <w:spacing w:before="0" w:after="80" w:line="300" w:lineRule="auto"/>
      </w:pPr>
      <w:r>
        <w:rPr>
          <w:rFonts w:ascii="Calibri" w:hAnsi="Calibri"/>
          <w:color w:val="000000"/>
          <w:sz w:val="22"/>
        </w:rPr>
        <w:t xml:space="preserve">Auriel E, et al. CAA-ri criteria validation. </w:t>
      </w:r>
      <w:r>
        <w:rPr>
          <w:rFonts w:ascii="Calibri" w:hAnsi="Calibri"/>
          <w:i/>
          <w:color w:val="000000"/>
          <w:sz w:val="22"/>
        </w:rPr>
        <w:t>JAMA Neurology</w:t>
      </w:r>
      <w:r>
        <w:rPr>
          <w:rFonts w:ascii="Calibri" w:hAnsi="Calibri"/>
          <w:color w:val="000000"/>
          <w:sz w:val="22"/>
        </w:rPr>
        <w:t xml:space="preserve">. 2016. </w:t>
      </w:r>
      <w:hyperlink r:id="rId24">
        <w:r>
          <w:rPr>
            <w:rFonts w:ascii="Calibri" w:hAnsi="Calibri"/>
            <w:color w:val="2E74B5"/>
            <w:u w:val="single"/>
          </w:rPr>
          <w:t>doi:10.1001/jamaneurol.2015.4078</w:t>
        </w:r>
      </w:hyperlink>
    </w:p>
    <w:p>
      <w:pPr>
        <w:numPr>
          <w:ilvl w:val="0"/>
          <w:numId w:val="10"/>
        </w:numPr>
        <w:spacing w:before="0" w:after="80" w:line="300" w:lineRule="auto"/>
      </w:pPr>
      <w:r>
        <w:rPr>
          <w:rFonts w:ascii="Calibri" w:hAnsi="Calibri"/>
          <w:color w:val="000000"/>
          <w:sz w:val="22"/>
        </w:rPr>
        <w:t xml:space="preserve">Gregoire SM, et al. MARS. </w:t>
      </w:r>
      <w:r>
        <w:rPr>
          <w:rFonts w:ascii="Calibri" w:hAnsi="Calibri"/>
          <w:i/>
          <w:color w:val="000000"/>
          <w:sz w:val="22"/>
        </w:rPr>
        <w:t>Neurology</w:t>
      </w:r>
      <w:r>
        <w:rPr>
          <w:rFonts w:ascii="Calibri" w:hAnsi="Calibri"/>
          <w:color w:val="000000"/>
          <w:sz w:val="22"/>
        </w:rPr>
        <w:t xml:space="preserve">. 2009. </w:t>
      </w:r>
      <w:hyperlink r:id="rId25">
        <w:r>
          <w:rPr>
            <w:rFonts w:ascii="Calibri" w:hAnsi="Calibri"/>
            <w:color w:val="2E74B5"/>
            <w:u w:val="single"/>
          </w:rPr>
          <w:t>doi:10.1212/WNL.0b013e3181c34a7d</w:t>
        </w:r>
      </w:hyperlink>
    </w:p>
    <w:p>
      <w:pPr>
        <w:numPr>
          <w:ilvl w:val="0"/>
          <w:numId w:val="10"/>
        </w:numPr>
        <w:spacing w:before="0" w:after="80" w:line="300" w:lineRule="auto"/>
      </w:pPr>
      <w:r>
        <w:rPr>
          <w:rFonts w:ascii="Calibri" w:hAnsi="Calibri"/>
          <w:color w:val="000000"/>
          <w:sz w:val="22"/>
        </w:rPr>
        <w:t xml:space="preserve">Cordonnier C, et al. BOMBS. </w:t>
      </w:r>
      <w:r>
        <w:rPr>
          <w:rFonts w:ascii="Calibri" w:hAnsi="Calibri"/>
          <w:i/>
          <w:color w:val="000000"/>
          <w:sz w:val="22"/>
        </w:rPr>
        <w:t>Stroke</w:t>
      </w:r>
      <w:r>
        <w:rPr>
          <w:rFonts w:ascii="Calibri" w:hAnsi="Calibri"/>
          <w:color w:val="000000"/>
          <w:sz w:val="22"/>
        </w:rPr>
        <w:t xml:space="preserve">. 2009. </w:t>
      </w:r>
      <w:hyperlink r:id="rId26">
        <w:r>
          <w:rPr>
            <w:rFonts w:ascii="Calibri" w:hAnsi="Calibri"/>
            <w:color w:val="2E74B5"/>
            <w:u w:val="single"/>
          </w:rPr>
          <w:t>doi:10.1161/STROKEAHA.108.526996</w:t>
        </w:r>
      </w:hyperlink>
    </w:p>
    <w:p>
      <w:pPr>
        <w:numPr>
          <w:ilvl w:val="0"/>
          <w:numId w:val="10"/>
        </w:numPr>
        <w:spacing w:before="0" w:after="80" w:line="300" w:lineRule="auto"/>
      </w:pPr>
      <w:r>
        <w:rPr>
          <w:rFonts w:ascii="Calibri" w:hAnsi="Calibri"/>
          <w:color w:val="000000"/>
          <w:sz w:val="22"/>
        </w:rPr>
        <w:t xml:space="preserve">Skrobot OA, et al. VCING. </w:t>
      </w:r>
      <w:r>
        <w:rPr>
          <w:rFonts w:ascii="Calibri" w:hAnsi="Calibri"/>
          <w:i/>
          <w:color w:val="000000"/>
          <w:sz w:val="22"/>
        </w:rPr>
        <w:t>Brain</w:t>
      </w:r>
      <w:r>
        <w:rPr>
          <w:rFonts w:ascii="Calibri" w:hAnsi="Calibri"/>
          <w:color w:val="000000"/>
          <w:sz w:val="22"/>
        </w:rPr>
        <w:t xml:space="preserve">. 2016. </w:t>
      </w:r>
      <w:hyperlink r:id="rId27">
        <w:r>
          <w:rPr>
            <w:rFonts w:ascii="Calibri" w:hAnsi="Calibri"/>
            <w:color w:val="2E74B5"/>
            <w:u w:val="single"/>
          </w:rPr>
          <w:t>doi:10.1093/brain/aww214</w:t>
        </w:r>
      </w:hyperlink>
    </w:p>
    <w:p>
      <w:pPr>
        <w:keepNext/>
        <w:spacing w:before="160" w:after="60"/>
        <w:jc w:val="center"/>
      </w:pPr>
      <w:r>
        <w:drawing>
          <wp:inline xmlns:a="http://schemas.openxmlformats.org/drawingml/2006/main" xmlns:pic="http://schemas.openxmlformats.org/drawingml/2006/picture">
            <wp:extent cx="5715000" cy="3214688"/>
            <wp:docPr id="4" name="Picture 4" descr="Five-step diagnostic reasoning pipeline from description through uncertainty reporting." title="Five-step diagnostic reasoning pipeline from description through uncertainty reporting"/>
            <wp:cNvGraphicFramePr>
              <a:graphicFrameLocks noChangeAspect="1"/>
            </wp:cNvGraphicFramePr>
            <a:graphic>
              <a:graphicData uri="http://schemas.openxmlformats.org/drawingml/2006/picture">
                <pic:pic>
                  <pic:nvPicPr>
                    <pic:cNvPr id="0" name="figure_05_diagnostic_pipeline.png"/>
                    <pic:cNvPicPr/>
                  </pic:nvPicPr>
                  <pic:blipFill>
                    <a:blip r:embed="rId28"/>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4. </w:t>
      </w:r>
      <w:r>
        <w:rPr>
          <w:rFonts w:ascii="Calibri" w:hAnsi="Calibri"/>
          <w:i/>
          <w:color w:val="5A626C"/>
          <w:sz w:val="19"/>
        </w:rPr>
        <w:t>Five-step diagnostic reasoning pipeline from description through uncertainty reporting.</w:t>
      </w:r>
    </w:p>
    <w:p>
      <w:bookmarkStart w:id="44" w:name="section_035"/>
      <w:pPr>
        <w:pStyle w:val="Heading1"/>
      </w:pPr>
      <w:r>
        <w:t>Diagnostic Transportability: What the Criteria Can and Cannot Do</w:t>
      </w:r>
      <w:bookmarkEnd w:id="44"/>
      <w:r>
        <w:rPr>
          <w:rFonts w:ascii="Calibri" w:hAnsi="Calibri"/>
          <w:color w:val="000000"/>
          <w:sz w:val="16"/>
        </w:rPr>
        <w:t xml:space="preserve">   </w:t>
      </w:r>
      <w:hyperlink w:anchor="Contents">
        <w:r>
          <w:rPr>
            <w:color w:val="2E74B5"/>
            <w:u w:val="single"/>
            <w:sz w:val="16"/>
          </w:rPr>
          <w:t>Back to contents</w:t>
        </w:r>
      </w:hyperlink>
    </w:p>
    <w:p>
      <w:bookmarkStart w:id="45" w:name="section_036"/>
      <w:pPr>
        <w:pStyle w:val="Heading2"/>
      </w:pPr>
      <w:r>
        <w:t>Why a diagnostic criterion has no context-free accuracy</w:t>
      </w:r>
      <w:bookmarkEnd w:id="45"/>
    </w:p>
    <w:p>
      <w:pPr>
        <w:spacing w:before="0" w:after="120" w:line="300" w:lineRule="auto"/>
      </w:pPr>
      <w:r>
        <w:rPr>
          <w:rFonts w:ascii="Calibri" w:hAnsi="Calibri"/>
          <w:color w:val="000000"/>
          <w:sz w:val="22"/>
        </w:rPr>
        <w:t>Sensitivity and specificity are properties of a test in a particular spectrum of disease, acquisition conditions, reference standard, and interpretation process. Positive and negative predictive values additionally depend on prevalence. A criterion derived among symptomatic patients selected for MRI and tissue is answering a different question from one applied to an asymptomatic community sample.</w:t>
      </w:r>
    </w:p>
    <w:p>
      <w:pPr>
        <w:spacing w:before="0" w:after="120" w:line="300" w:lineRule="auto"/>
      </w:pPr>
      <w:r>
        <w:rPr>
          <w:rFonts w:ascii="Calibri" w:hAnsi="Calibri"/>
          <w:color w:val="000000"/>
          <w:sz w:val="22"/>
        </w:rPr>
        <w:t>This is not a technical footnote. It is one of the most important current lessons in CAA diagnosis.</w:t>
      </w:r>
    </w:p>
    <w:p>
      <w:bookmarkStart w:id="46" w:name="section_037"/>
      <w:pPr>
        <w:pStyle w:val="Heading2"/>
      </w:pPr>
      <w:r>
        <w:t>Boston criteria v2.0 in the derivation setting</w:t>
      </w:r>
      <w:bookmarkEnd w:id="46"/>
    </w:p>
    <w:p>
      <w:pPr>
        <w:spacing w:before="0" w:after="120" w:line="300" w:lineRule="auto"/>
      </w:pPr>
      <w:r>
        <w:rPr>
          <w:rFonts w:ascii="Calibri" w:hAnsi="Calibri"/>
          <w:color w:val="000000"/>
          <w:sz w:val="22"/>
        </w:rPr>
        <w:t>The 2022 multicentre study included adults aged 50 years or older with spontaneous intracerebral hemorrhage, cognitive impairment, or transient focal neurologic episodes, along with adequate MRI and histopathologic evaluation. Probable CAA required either at least two strictly lobar hemorrhagic lesions or one strictly lobar hemorrhagic lesion plus severe centrum-semiovale perivascular spaces or a multispot white-matter hyperintensity pattern, with no deep hemorrhagic lesion and no better alternative cause.</w:t>
      </w:r>
    </w:p>
    <w:p>
      <w:pPr>
        <w:spacing w:before="0" w:after="120" w:line="300" w:lineRule="auto"/>
      </w:pPr>
      <w:r>
        <w:rPr>
          <w:rFonts w:ascii="Calibri" w:hAnsi="Calibri"/>
          <w:color w:val="000000"/>
          <w:sz w:val="22"/>
        </w:rPr>
        <w:t>Performance was strong within those sampled clinical settings. Sensitivity and specificity were 74.8% and 84.6% in derivation, 92.5% and 89.5% in temporal validation, and 80.2% and 81.5% in geographic validation. In the full-autopsy subset they were 74.5% and 95.0%, respectively.</w:t>
      </w:r>
    </w:p>
    <w:p>
      <w:pPr>
        <w:spacing w:before="0" w:after="120" w:line="300" w:lineRule="auto"/>
      </w:pPr>
      <w:r>
        <w:rPr>
          <w:rFonts w:ascii="Calibri" w:hAnsi="Calibri"/>
          <w:color w:val="000000"/>
          <w:sz w:val="22"/>
        </w:rPr>
        <w:t>Those numbers support Boston v2.0 for the intended symptomatic clinical spectrum. They do not establish equivalent screening performance.</w:t>
      </w:r>
    </w:p>
    <w:p>
      <w:bookmarkStart w:id="47" w:name="section_038"/>
      <w:pPr>
        <w:pStyle w:val="Heading2"/>
      </w:pPr>
      <w:r>
        <w:t>Community and nonhemorrhagic validation</w:t>
      </w:r>
      <w:bookmarkEnd w:id="47"/>
    </w:p>
    <w:p>
      <w:pPr>
        <w:spacing w:before="0" w:after="120" w:line="300" w:lineRule="auto"/>
      </w:pPr>
      <w:r>
        <w:rPr>
          <w:rFonts w:ascii="Calibri" w:hAnsi="Calibri"/>
          <w:color w:val="000000"/>
          <w:sz w:val="22"/>
        </w:rPr>
        <w:t>In 134 ROSMAP participants with in vivo 3T MRI and autopsy, probable CAA v2.0 sensitivity was 38.8% and specificity 83.5%. The updated white-matter features increased sensitivity relative to earlier versions, but sensitivity remained limited. True-positive cases had more strictly cortical lobar microbleeds than false-positive cases, strengthening the hypothesis that exact cortical versus juxtacortical localization contains additional etiologic information.</w:t>
      </w:r>
    </w:p>
    <w:p>
      <w:pPr>
        <w:spacing w:before="0" w:after="120" w:line="300" w:lineRule="auto"/>
      </w:pPr>
      <w:r>
        <w:rPr>
          <w:rFonts w:ascii="Calibri" w:hAnsi="Calibri"/>
          <w:color w:val="000000"/>
          <w:sz w:val="22"/>
        </w:rPr>
        <w:t>In a separate 54-person Mayo community and memory-clinic MRI-autopsy cohort without symptomatic intracerebral hemorrhage, probable CAA v2.0 sensitivity was 28.6%, specificity 65.3%, and AUC 0.47. Broadening to possible plus probable CAA raised sensitivity but sharply reduced specificity.</w:t>
      </w:r>
    </w:p>
    <w:p>
      <w:pPr>
        <w:spacing w:before="0" w:after="120" w:line="300" w:lineRule="auto"/>
      </w:pPr>
      <w:r>
        <w:rPr>
          <w:rFonts w:ascii="Calibri" w:hAnsi="Calibri"/>
          <w:color w:val="000000"/>
          <w:sz w:val="22"/>
        </w:rPr>
        <w:t>The correct synthesis is not that Boston v2.0 “failed.” It is that a classification rule optimized in one clinical spectrum should not be assumed to solve a different use case. Preclinical or cognitive-only CAA likely requires additional biomarkers and possibly different thresholds.</w:t>
      </w:r>
    </w:p>
    <w:p>
      <w:bookmarkStart w:id="48" w:name="section_039"/>
      <w:pPr>
        <w:pStyle w:val="Heading2"/>
      </w:pPr>
      <w:r>
        <w:t>Interpreting individual features</w:t>
      </w:r>
      <w:bookmarkEnd w:id="48"/>
    </w:p>
    <w:p>
      <w:pPr>
        <w:keepNext/>
        <w:spacing w:before="160" w:after="80"/>
      </w:pPr>
      <w:r>
        <w:rPr>
          <w:rFonts w:ascii="Calibri" w:hAnsi="Calibri"/>
          <w:b/>
          <w:color w:val="1F4D78"/>
          <w:sz w:val="22"/>
        </w:rPr>
        <w:t>Strictly lobar hemorrhagic lesions</w:t>
      </w:r>
    </w:p>
    <w:p>
      <w:pPr>
        <w:spacing w:before="0" w:after="120" w:line="300" w:lineRule="auto"/>
      </w:pPr>
      <w:r>
        <w:rPr>
          <w:rFonts w:ascii="Calibri" w:hAnsi="Calibri"/>
          <w:color w:val="000000"/>
          <w:sz w:val="22"/>
        </w:rPr>
        <w:t>They are among the strongest available MRI clues for CAA, especially when multiple and accompanied by cortical superficial siderosis or convexity subarachnoid hemorrhage. They remain probabilistic. Arteriolosclerosis, trauma, cavernous malformations, treatment effects, and other processes can create mimics or true lobar hemorrhagic lesions.</w:t>
      </w:r>
    </w:p>
    <w:p>
      <w:pPr>
        <w:keepNext/>
        <w:spacing w:before="160" w:after="80"/>
      </w:pPr>
      <w:r>
        <w:rPr>
          <w:rFonts w:ascii="Calibri" w:hAnsi="Calibri"/>
          <w:b/>
          <w:color w:val="1F4D78"/>
          <w:sz w:val="22"/>
        </w:rPr>
        <w:t>Cortical superficial siderosis</w:t>
      </w:r>
    </w:p>
    <w:p>
      <w:pPr>
        <w:spacing w:before="0" w:after="120" w:line="300" w:lineRule="auto"/>
      </w:pPr>
      <w:r>
        <w:rPr>
          <w:rFonts w:ascii="Calibri" w:hAnsi="Calibri"/>
          <w:color w:val="000000"/>
          <w:sz w:val="22"/>
        </w:rPr>
        <w:t>Its sulcal distribution and extent can be diagnostically and prognostically informative. It must be distinguished from other sources of chronic subarachnoid blood products and interpreted with susceptibility-sensitive sequences.</w:t>
      </w:r>
    </w:p>
    <w:p>
      <w:pPr>
        <w:keepNext/>
        <w:spacing w:before="160" w:after="80"/>
      </w:pPr>
      <w:r>
        <w:rPr>
          <w:rFonts w:ascii="Calibri" w:hAnsi="Calibri"/>
          <w:b/>
          <w:color w:val="1F4D78"/>
          <w:sz w:val="22"/>
        </w:rPr>
        <w:t>Centrum-semiovale perivascular spaces</w:t>
      </w:r>
    </w:p>
    <w:p>
      <w:pPr>
        <w:spacing w:before="0" w:after="120" w:line="300" w:lineRule="auto"/>
      </w:pPr>
      <w:r>
        <w:rPr>
          <w:rFonts w:ascii="Calibri" w:hAnsi="Calibri"/>
          <w:color w:val="000000"/>
          <w:sz w:val="22"/>
        </w:rPr>
        <w:t>Severe CSO-PVS add information in combination with a lobar hemorrhagic feature. Spatial pathology supports a relationship to overlying cortical CAA, but PVS also occur with aging and other small-vessel processes and do not directly measure fluid flow.</w:t>
      </w:r>
    </w:p>
    <w:p>
      <w:pPr>
        <w:keepNext/>
        <w:spacing w:before="160" w:after="80"/>
      </w:pPr>
      <w:r>
        <w:rPr>
          <w:rFonts w:ascii="Calibri" w:hAnsi="Calibri"/>
          <w:b/>
          <w:color w:val="1F4D78"/>
          <w:sz w:val="22"/>
        </w:rPr>
        <w:t>Multispot white-matter hyperintensity pattern</w:t>
      </w:r>
    </w:p>
    <w:p>
      <w:pPr>
        <w:spacing w:before="0" w:after="120" w:line="300" w:lineRule="auto"/>
      </w:pPr>
      <w:r>
        <w:rPr>
          <w:rFonts w:ascii="Calibri" w:hAnsi="Calibri"/>
          <w:color w:val="000000"/>
          <w:sz w:val="22"/>
        </w:rPr>
        <w:t>This is a qualifying feature within Boston v2.0, not a standalone CAA biomarker. Its incremental performance appears smaller than that of CSO-PVS in available community validation, and WMH remain etiologically nonspecific.</w:t>
      </w:r>
    </w:p>
    <w:p>
      <w:bookmarkStart w:id="49" w:name="section_040"/>
      <w:pPr>
        <w:pStyle w:val="Heading2"/>
      </w:pPr>
      <w:r>
        <w:t>The Edinburgh criteria answer a narrower question</w:t>
      </w:r>
      <w:bookmarkEnd w:id="49"/>
    </w:p>
    <w:p>
      <w:pPr>
        <w:spacing w:before="0" w:after="120" w:line="300" w:lineRule="auto"/>
      </w:pPr>
      <w:r>
        <w:rPr>
          <w:rFonts w:ascii="Calibri" w:hAnsi="Calibri"/>
          <w:color w:val="000000"/>
          <w:sz w:val="22"/>
        </w:rPr>
        <w:t>The Edinburgh CT and genetic model was developed for adults with lobar intracerebral hemorrhage. It combines subarachnoid extension, finger-like projections, and APOE e4. Among 62 lobar ICH cases in the autopsy cohort, the three-variable model achieved a c-statistic of 0.92; the proposed rule-in combination had 96% specificity. Its strengths are a masked pathology reference and practical CT morphology. Its boundaries are equally important: small development set, internal validation, genotype dependence, and no claim to classify non-ICH presentations.</w:t>
      </w:r>
    </w:p>
    <w:p>
      <w:bookmarkStart w:id="50" w:name="section_041"/>
      <w:pPr>
        <w:pStyle w:val="Heading2"/>
      </w:pPr>
      <w:r>
        <w:t>A practical evidence-reading checklist</w:t>
      </w:r>
      <w:bookmarkEnd w:id="50"/>
    </w:p>
    <w:p>
      <w:pPr>
        <w:spacing w:before="0" w:after="120" w:line="300" w:lineRule="auto"/>
      </w:pPr>
      <w:r>
        <w:rPr>
          <w:rFonts w:ascii="Calibri" w:hAnsi="Calibri"/>
          <w:color w:val="000000"/>
          <w:sz w:val="22"/>
        </w:rPr>
        <w:t>Before accepting any accuracy number, ask:</w:t>
      </w:r>
    </w:p>
    <w:p>
      <w:pPr>
        <w:numPr>
          <w:ilvl w:val="0"/>
          <w:numId w:val="10"/>
        </w:numPr>
        <w:spacing w:before="0" w:after="80" w:line="300" w:lineRule="auto"/>
      </w:pPr>
      <w:r>
        <w:rPr>
          <w:rFonts w:ascii="Calibri" w:hAnsi="Calibri"/>
          <w:color w:val="000000"/>
          <w:sz w:val="22"/>
        </w:rPr>
        <w:t>What was the intended context of use?</w:t>
      </w:r>
    </w:p>
    <w:p>
      <w:pPr>
        <w:numPr>
          <w:ilvl w:val="0"/>
          <w:numId w:val="10"/>
        </w:numPr>
        <w:spacing w:before="0" w:after="80" w:line="300" w:lineRule="auto"/>
      </w:pPr>
      <w:r>
        <w:rPr>
          <w:rFonts w:ascii="Calibri" w:hAnsi="Calibri"/>
          <w:color w:val="000000"/>
          <w:sz w:val="22"/>
        </w:rPr>
        <w:t>How were participants selected?</w:t>
      </w:r>
    </w:p>
    <w:p>
      <w:pPr>
        <w:numPr>
          <w:ilvl w:val="0"/>
          <w:numId w:val="10"/>
        </w:numPr>
        <w:spacing w:before="0" w:after="80" w:line="300" w:lineRule="auto"/>
      </w:pPr>
      <w:r>
        <w:rPr>
          <w:rFonts w:ascii="Calibri" w:hAnsi="Calibri"/>
          <w:color w:val="000000"/>
          <w:sz w:val="22"/>
        </w:rPr>
        <w:t>What clinical presentations were present?</w:t>
      </w:r>
    </w:p>
    <w:p>
      <w:pPr>
        <w:numPr>
          <w:ilvl w:val="0"/>
          <w:numId w:val="10"/>
        </w:numPr>
        <w:spacing w:before="0" w:after="80" w:line="300" w:lineRule="auto"/>
      </w:pPr>
      <w:r>
        <w:rPr>
          <w:rFonts w:ascii="Calibri" w:hAnsi="Calibri"/>
          <w:color w:val="000000"/>
          <w:sz w:val="22"/>
        </w:rPr>
        <w:t>Which MRI sequences and field strengths were required?</w:t>
      </w:r>
    </w:p>
    <w:p>
      <w:pPr>
        <w:numPr>
          <w:ilvl w:val="0"/>
          <w:numId w:val="10"/>
        </w:numPr>
        <w:spacing w:before="0" w:after="80" w:line="300" w:lineRule="auto"/>
      </w:pPr>
      <w:r>
        <w:rPr>
          <w:rFonts w:ascii="Calibri" w:hAnsi="Calibri"/>
          <w:color w:val="000000"/>
          <w:sz w:val="22"/>
        </w:rPr>
        <w:t>Was the index test rated blind to pathology?</w:t>
      </w:r>
    </w:p>
    <w:p>
      <w:pPr>
        <w:numPr>
          <w:ilvl w:val="0"/>
          <w:numId w:val="10"/>
        </w:numPr>
        <w:spacing w:before="0" w:after="80" w:line="300" w:lineRule="auto"/>
      </w:pPr>
      <w:r>
        <w:rPr>
          <w:rFonts w:ascii="Calibri" w:hAnsi="Calibri"/>
          <w:color w:val="000000"/>
          <w:sz w:val="22"/>
        </w:rPr>
        <w:t>Was the reference full autopsy, limited biopsy, hematoma evacuation, or clinical follow-up?</w:t>
      </w:r>
    </w:p>
    <w:p>
      <w:pPr>
        <w:numPr>
          <w:ilvl w:val="0"/>
          <w:numId w:val="10"/>
        </w:numPr>
        <w:spacing w:before="0" w:after="80" w:line="300" w:lineRule="auto"/>
      </w:pPr>
      <w:r>
        <w:rPr>
          <w:rFonts w:ascii="Calibri" w:hAnsi="Calibri"/>
          <w:color w:val="000000"/>
          <w:sz w:val="22"/>
        </w:rPr>
        <w:t>How long separated imaging and pathology?</w:t>
      </w:r>
    </w:p>
    <w:p>
      <w:pPr>
        <w:numPr>
          <w:ilvl w:val="0"/>
          <w:numId w:val="10"/>
        </w:numPr>
        <w:spacing w:before="0" w:after="80" w:line="300" w:lineRule="auto"/>
      </w:pPr>
      <w:r>
        <w:rPr>
          <w:rFonts w:ascii="Calibri" w:hAnsi="Calibri"/>
          <w:color w:val="000000"/>
          <w:sz w:val="22"/>
        </w:rPr>
        <w:t>Were mixed pathologies measured?</w:t>
      </w:r>
    </w:p>
    <w:p>
      <w:pPr>
        <w:numPr>
          <w:ilvl w:val="0"/>
          <w:numId w:val="10"/>
        </w:numPr>
        <w:spacing w:before="0" w:after="80" w:line="300" w:lineRule="auto"/>
      </w:pPr>
      <w:r>
        <w:rPr>
          <w:rFonts w:ascii="Calibri" w:hAnsi="Calibri"/>
          <w:color w:val="000000"/>
          <w:sz w:val="22"/>
        </w:rPr>
        <w:t>Were thresholds prespecified?</w:t>
      </w:r>
    </w:p>
    <w:p>
      <w:pPr>
        <w:numPr>
          <w:ilvl w:val="0"/>
          <w:numId w:val="10"/>
        </w:numPr>
        <w:spacing w:before="0" w:after="80" w:line="300" w:lineRule="auto"/>
      </w:pPr>
      <w:r>
        <w:rPr>
          <w:rFonts w:ascii="Calibri" w:hAnsi="Calibri"/>
          <w:color w:val="000000"/>
          <w:sz w:val="22"/>
        </w:rPr>
        <w:t>Was calibration reported, not only discrimination?</w:t>
      </w:r>
    </w:p>
    <w:p>
      <w:pPr>
        <w:numPr>
          <w:ilvl w:val="0"/>
          <w:numId w:val="10"/>
        </w:numPr>
        <w:spacing w:before="0" w:after="80" w:line="300" w:lineRule="auto"/>
      </w:pPr>
      <w:r>
        <w:rPr>
          <w:rFonts w:ascii="Calibri" w:hAnsi="Calibri"/>
          <w:color w:val="000000"/>
          <w:sz w:val="22"/>
        </w:rPr>
        <w:t>Has the result been reproduced outside the development ecosystem?</w:t>
      </w:r>
    </w:p>
    <w:p>
      <w:bookmarkStart w:id="51" w:name="section_042"/>
      <w:pPr>
        <w:pStyle w:val="Heading2"/>
      </w:pPr>
      <w:r>
        <w:t>Current research implication</w:t>
      </w:r>
      <w:bookmarkEnd w:id="51"/>
    </w:p>
    <w:p>
      <w:pPr>
        <w:spacing w:before="0" w:after="120" w:line="300" w:lineRule="auto"/>
      </w:pPr>
      <w:r>
        <w:rPr>
          <w:rFonts w:ascii="Calibri" w:hAnsi="Calibri"/>
          <w:color w:val="000000"/>
          <w:sz w:val="22"/>
        </w:rPr>
        <w:t>The next diagnostic advance is unlikely to come from adding one more nonspecific lesion to a checklist. Higher-value directions include exact lesion compartment, continuous spatial burden, vessel physiology, molecular/fluid information, acquisition-aware models, and multimodal validation against multiregion pathology. These models must be developed separately for symptomatic diagnosis, preclinical detection, treatment-risk estimation, and prognosis.</w:t>
      </w:r>
    </w:p>
    <w:p>
      <w:pPr>
        <w:keepNext/>
        <w:spacing w:before="160" w:after="60"/>
        <w:jc w:val="center"/>
      </w:pPr>
      <w:r>
        <w:drawing>
          <wp:inline xmlns:a="http://schemas.openxmlformats.org/drawingml/2006/main" xmlns:pic="http://schemas.openxmlformats.org/drawingml/2006/picture">
            <wp:extent cx="5715000" cy="3214688"/>
            <wp:docPr id="5" name="Picture 5" descr="Three-column differential showing lobar, deep, and mixed lesion distributions as probabilistic evidence." title="Three-column differential showing lobar, deep, and mixed lesion distributions as probabilistic evidence"/>
            <wp:cNvGraphicFramePr>
              <a:graphicFrameLocks noChangeAspect="1"/>
            </wp:cNvGraphicFramePr>
            <a:graphic>
              <a:graphicData uri="http://schemas.openxmlformats.org/drawingml/2006/picture">
                <pic:pic>
                  <pic:nvPicPr>
                    <pic:cNvPr id="0" name="figure_03_distribution_differential.png"/>
                    <pic:cNvPicPr/>
                  </pic:nvPicPr>
                  <pic:blipFill>
                    <a:blip r:embed="rId29"/>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5. </w:t>
      </w:r>
      <w:r>
        <w:rPr>
          <w:rFonts w:ascii="Calibri" w:hAnsi="Calibri"/>
          <w:i/>
          <w:color w:val="5A626C"/>
          <w:sz w:val="19"/>
        </w:rPr>
        <w:t>Three-column differential showing lobar, deep, and mixed lesion distributions as probabilistic evidence.</w:t>
      </w:r>
    </w:p>
    <w:p>
      <w:bookmarkStart w:id="52" w:name="section_043"/>
      <w:pPr>
        <w:pStyle w:val="Heading1"/>
      </w:pPr>
      <w:r>
        <w:t>Biomarkers and Tools</w:t>
      </w:r>
      <w:bookmarkEnd w:id="52"/>
      <w:r>
        <w:rPr>
          <w:rFonts w:ascii="Calibri" w:hAnsi="Calibri"/>
          <w:color w:val="000000"/>
          <w:sz w:val="16"/>
        </w:rPr>
        <w:t xml:space="preserve">   </w:t>
      </w:r>
      <w:hyperlink w:anchor="Contents">
        <w:r>
          <w:rPr>
            <w:color w:val="2E74B5"/>
            <w:u w:val="single"/>
            <w:sz w:val="16"/>
          </w:rPr>
          <w:t>Back to contents</w:t>
        </w:r>
      </w:hyperlink>
    </w:p>
    <w:p>
      <w:bookmarkStart w:id="53" w:name="section_044"/>
      <w:pPr>
        <w:pStyle w:val="Heading2"/>
      </w:pPr>
      <w:r>
        <w:t>1. A biomarker is defined by its context of use</w:t>
      </w:r>
      <w:bookmarkEnd w:id="53"/>
    </w:p>
    <w:p>
      <w:pPr>
        <w:spacing w:before="0" w:after="120" w:line="300" w:lineRule="auto"/>
      </w:pPr>
      <w:r>
        <w:rPr>
          <w:rFonts w:ascii="Calibri" w:hAnsi="Calibri"/>
          <w:color w:val="000000"/>
          <w:sz w:val="22"/>
        </w:rPr>
        <w:t>A number is not "validated" in the abstract. It can be validated for one or more specific jobs:</w:t>
      </w:r>
    </w:p>
    <w:p>
      <w:pPr>
        <w:numPr>
          <w:ilvl w:val="0"/>
          <w:numId w:val="10"/>
        </w:numPr>
        <w:spacing w:before="0" w:after="80" w:line="300" w:lineRule="auto"/>
      </w:pPr>
      <w:r>
        <w:rPr>
          <w:rFonts w:ascii="Calibri" w:hAnsi="Calibri"/>
          <w:b/>
          <w:color w:val="000000"/>
          <w:sz w:val="22"/>
        </w:rPr>
        <w:t>susceptibility/risk:</w:t>
      </w:r>
      <w:r>
        <w:rPr>
          <w:rFonts w:ascii="Calibri" w:hAnsi="Calibri"/>
          <w:color w:val="000000"/>
          <w:sz w:val="22"/>
        </w:rPr>
        <w:t xml:space="preserve"> identify people more likely to develop disease or an outcome;</w:t>
      </w:r>
    </w:p>
    <w:p>
      <w:pPr>
        <w:numPr>
          <w:ilvl w:val="0"/>
          <w:numId w:val="10"/>
        </w:numPr>
        <w:spacing w:before="0" w:after="80" w:line="300" w:lineRule="auto"/>
      </w:pPr>
      <w:r>
        <w:rPr>
          <w:rFonts w:ascii="Calibri" w:hAnsi="Calibri"/>
          <w:b/>
          <w:color w:val="000000"/>
          <w:sz w:val="22"/>
        </w:rPr>
        <w:t>diagnostic:</w:t>
      </w:r>
      <w:r>
        <w:rPr>
          <w:rFonts w:ascii="Calibri" w:hAnsi="Calibri"/>
          <w:color w:val="000000"/>
          <w:sz w:val="22"/>
        </w:rPr>
        <w:t xml:space="preserve"> identify current disease or subtype;</w:t>
      </w:r>
    </w:p>
    <w:p>
      <w:pPr>
        <w:numPr>
          <w:ilvl w:val="0"/>
          <w:numId w:val="10"/>
        </w:numPr>
        <w:spacing w:before="0" w:after="80" w:line="300" w:lineRule="auto"/>
      </w:pPr>
      <w:r>
        <w:rPr>
          <w:rFonts w:ascii="Calibri" w:hAnsi="Calibri"/>
          <w:b/>
          <w:color w:val="000000"/>
          <w:sz w:val="22"/>
        </w:rPr>
        <w:t>prognostic:</w:t>
      </w:r>
      <w:r>
        <w:rPr>
          <w:rFonts w:ascii="Calibri" w:hAnsi="Calibri"/>
          <w:color w:val="000000"/>
          <w:sz w:val="22"/>
        </w:rPr>
        <w:t xml:space="preserve"> predict course among people with disease;</w:t>
      </w:r>
    </w:p>
    <w:p>
      <w:pPr>
        <w:numPr>
          <w:ilvl w:val="0"/>
          <w:numId w:val="10"/>
        </w:numPr>
        <w:spacing w:before="0" w:after="80" w:line="300" w:lineRule="auto"/>
      </w:pPr>
      <w:r>
        <w:rPr>
          <w:rFonts w:ascii="Calibri" w:hAnsi="Calibri"/>
          <w:b/>
          <w:color w:val="000000"/>
          <w:sz w:val="22"/>
        </w:rPr>
        <w:t>monitoring:</w:t>
      </w:r>
      <w:r>
        <w:rPr>
          <w:rFonts w:ascii="Calibri" w:hAnsi="Calibri"/>
          <w:color w:val="000000"/>
          <w:sz w:val="22"/>
        </w:rPr>
        <w:t xml:space="preserve"> track change over time;</w:t>
      </w:r>
    </w:p>
    <w:p>
      <w:pPr>
        <w:numPr>
          <w:ilvl w:val="0"/>
          <w:numId w:val="10"/>
        </w:numPr>
        <w:spacing w:before="0" w:after="80" w:line="300" w:lineRule="auto"/>
      </w:pPr>
      <w:r>
        <w:rPr>
          <w:rFonts w:ascii="Calibri" w:hAnsi="Calibri"/>
          <w:b/>
          <w:color w:val="000000"/>
          <w:sz w:val="22"/>
        </w:rPr>
        <w:t>predictive:</w:t>
      </w:r>
      <w:r>
        <w:rPr>
          <w:rFonts w:ascii="Calibri" w:hAnsi="Calibri"/>
          <w:color w:val="000000"/>
          <w:sz w:val="22"/>
        </w:rPr>
        <w:t xml:space="preserve"> identify differential response or harm from an intervention;</w:t>
      </w:r>
    </w:p>
    <w:p>
      <w:pPr>
        <w:numPr>
          <w:ilvl w:val="0"/>
          <w:numId w:val="10"/>
        </w:numPr>
        <w:spacing w:before="0" w:after="80" w:line="300" w:lineRule="auto"/>
      </w:pPr>
      <w:r>
        <w:rPr>
          <w:rFonts w:ascii="Calibri" w:hAnsi="Calibri"/>
          <w:b/>
          <w:color w:val="000000"/>
          <w:sz w:val="22"/>
        </w:rPr>
        <w:t>pharmacodynamic/response:</w:t>
      </w:r>
      <w:r>
        <w:rPr>
          <w:rFonts w:ascii="Calibri" w:hAnsi="Calibri"/>
          <w:color w:val="000000"/>
          <w:sz w:val="22"/>
        </w:rPr>
        <w:t xml:space="preserve"> show that a biological process changed after treatment;</w:t>
      </w:r>
    </w:p>
    <w:p>
      <w:pPr>
        <w:numPr>
          <w:ilvl w:val="0"/>
          <w:numId w:val="10"/>
        </w:numPr>
        <w:spacing w:before="0" w:after="80" w:line="300" w:lineRule="auto"/>
      </w:pPr>
      <w:r>
        <w:rPr>
          <w:rFonts w:ascii="Calibri" w:hAnsi="Calibri"/>
          <w:b/>
          <w:color w:val="000000"/>
          <w:sz w:val="22"/>
        </w:rPr>
        <w:t>trial enrichment/stratification:</w:t>
      </w:r>
      <w:r>
        <w:rPr>
          <w:rFonts w:ascii="Calibri" w:hAnsi="Calibri"/>
          <w:color w:val="000000"/>
          <w:sz w:val="22"/>
        </w:rPr>
        <w:t xml:space="preserve"> select or balance participants.</w:t>
      </w:r>
    </w:p>
    <w:p>
      <w:pPr>
        <w:spacing w:before="0" w:after="120" w:line="300" w:lineRule="auto"/>
      </w:pPr>
      <w:r>
        <w:rPr>
          <w:rFonts w:ascii="Calibri" w:hAnsi="Calibri"/>
          <w:color w:val="000000"/>
          <w:sz w:val="22"/>
        </w:rPr>
        <w:t>Technical repeatability, association with cognition, pathology prediction, and treatment responsiveness are different validation layers.</w:t>
      </w:r>
    </w:p>
    <w:p>
      <w:bookmarkStart w:id="54" w:name="section_045"/>
      <w:pPr>
        <w:pStyle w:val="Heading2"/>
      </w:pPr>
      <w:r>
        <w:t>2. ARTS: the arteriolosclerosis biomarker</w:t>
      </w:r>
      <w:bookmarkEnd w:id="54"/>
    </w:p>
    <w:p>
      <w:pPr>
        <w:keepNext/>
        <w:spacing w:before="160" w:after="80"/>
      </w:pPr>
      <w:r>
        <w:rPr>
          <w:rFonts w:ascii="Calibri" w:hAnsi="Calibri"/>
          <w:b/>
          <w:color w:val="1F4D78"/>
          <w:sz w:val="22"/>
        </w:rPr>
        <w:t>What it is</w:t>
      </w:r>
    </w:p>
    <w:p>
      <w:pPr>
        <w:spacing w:before="0" w:after="120" w:line="300" w:lineRule="auto"/>
      </w:pPr>
      <w:r>
        <w:rPr>
          <w:rFonts w:ascii="Calibri" w:hAnsi="Calibri"/>
          <w:color w:val="000000"/>
          <w:sz w:val="22"/>
        </w:rPr>
        <w:t>ARTS is a fully automated, containerized MRI-based classifier designed to output a score related to the likelihood of brain arteriolosclerosis. It combines:</w:t>
      </w:r>
    </w:p>
    <w:p>
      <w:pPr>
        <w:numPr>
          <w:ilvl w:val="0"/>
          <w:numId w:val="10"/>
        </w:numPr>
        <w:spacing w:before="0" w:after="80" w:line="300" w:lineRule="auto"/>
      </w:pPr>
      <w:r>
        <w:rPr>
          <w:rFonts w:ascii="Calibri" w:hAnsi="Calibri"/>
          <w:color w:val="000000"/>
          <w:sz w:val="22"/>
        </w:rPr>
        <w:t>3D T1-weighted MRI;</w:t>
      </w:r>
    </w:p>
    <w:p>
      <w:pPr>
        <w:numPr>
          <w:ilvl w:val="0"/>
          <w:numId w:val="10"/>
        </w:numPr>
        <w:spacing w:before="0" w:after="80" w:line="300" w:lineRule="auto"/>
      </w:pPr>
      <w:r>
        <w:rPr>
          <w:rFonts w:ascii="Calibri" w:hAnsi="Calibri"/>
          <w:color w:val="000000"/>
          <w:sz w:val="22"/>
        </w:rPr>
        <w:t>T2-weighted FLAIR for WMH-related features;</w:t>
      </w:r>
    </w:p>
    <w:p>
      <w:pPr>
        <w:numPr>
          <w:ilvl w:val="0"/>
          <w:numId w:val="10"/>
        </w:numPr>
        <w:spacing w:before="0" w:after="80" w:line="300" w:lineRule="auto"/>
      </w:pPr>
      <w:r>
        <w:rPr>
          <w:rFonts w:ascii="Calibri" w:hAnsi="Calibri"/>
          <w:color w:val="000000"/>
          <w:sz w:val="22"/>
        </w:rPr>
        <w:t>diffusion tensor imaging, including regional fractional-anisotropy information;</w:t>
      </w:r>
    </w:p>
    <w:p>
      <w:pPr>
        <w:numPr>
          <w:ilvl w:val="0"/>
          <w:numId w:val="10"/>
        </w:numPr>
        <w:spacing w:before="0" w:after="80" w:line="300" w:lineRule="auto"/>
      </w:pPr>
      <w:r>
        <w:rPr>
          <w:rFonts w:ascii="Calibri" w:hAnsi="Calibri"/>
          <w:color w:val="000000"/>
          <w:sz w:val="22"/>
        </w:rPr>
        <w:t>age at MRI and sex.</w:t>
      </w:r>
    </w:p>
    <w:p>
      <w:pPr>
        <w:spacing w:before="0" w:after="120" w:line="300" w:lineRule="auto"/>
      </w:pPr>
      <w:r>
        <w:rPr>
          <w:rFonts w:ascii="Calibri" w:hAnsi="Calibri"/>
          <w:color w:val="000000"/>
          <w:sz w:val="22"/>
        </w:rPr>
        <w:t>The public package accepts DICOM (preferred by its documentation) or NIfTI and was distributed for Singularity-based execution on Linux/macOS and high-performance computing. Check the current package requirements before using Apptainer as a drop-in replacement.</w:t>
      </w:r>
    </w:p>
    <w:p>
      <w:pPr>
        <w:keepNext/>
        <w:spacing w:before="160" w:after="80"/>
      </w:pPr>
      <w:r>
        <w:rPr>
          <w:rFonts w:ascii="Calibri" w:hAnsi="Calibri"/>
          <w:b/>
          <w:color w:val="1F4D78"/>
          <w:sz w:val="22"/>
        </w:rPr>
        <w:t>Development logic</w:t>
      </w:r>
    </w:p>
    <w:p>
      <w:pPr>
        <w:spacing w:before="0" w:after="120" w:line="300" w:lineRule="auto"/>
      </w:pPr>
      <w:r>
        <w:rPr>
          <w:rFonts w:ascii="Calibri" w:hAnsi="Calibri"/>
          <w:color w:val="000000"/>
          <w:sz w:val="22"/>
        </w:rPr>
        <w:t>ARTS was trained using ex vivo MRI and neuropathology, then translated to in vivo imaging. Its central scientific value is the attempt to learn a pathology-linked arteriolosclerosis signature rather than treating total WMH as if it were specific.</w:t>
      </w:r>
    </w:p>
    <w:p>
      <w:pPr>
        <w:keepNext/>
        <w:spacing w:before="160" w:after="80"/>
      </w:pPr>
      <w:r>
        <w:rPr>
          <w:rFonts w:ascii="Calibri" w:hAnsi="Calibri"/>
          <w:b/>
          <w:color w:val="1F4D78"/>
          <w:sz w:val="22"/>
        </w:rPr>
        <w:t>Evidence to date</w:t>
      </w:r>
    </w:p>
    <w:p>
      <w:pPr>
        <w:numPr>
          <w:ilvl w:val="0"/>
          <w:numId w:val="10"/>
        </w:numPr>
        <w:spacing w:before="0" w:after="80" w:line="300" w:lineRule="auto"/>
      </w:pPr>
      <w:r>
        <w:rPr>
          <w:rFonts w:ascii="Calibri" w:hAnsi="Calibri"/>
          <w:color w:val="000000"/>
          <w:sz w:val="22"/>
        </w:rPr>
        <w:t>The initial publication reported prediction of arteriolosclerosis, scan-rescan reproducibility, and association with two-year cognitive decline in nondemented older adults.</w:t>
      </w:r>
    </w:p>
    <w:p>
      <w:pPr>
        <w:numPr>
          <w:ilvl w:val="0"/>
          <w:numId w:val="10"/>
        </w:numPr>
        <w:spacing w:before="0" w:after="80" w:line="300" w:lineRule="auto"/>
      </w:pPr>
      <w:r>
        <w:rPr>
          <w:rFonts w:ascii="Calibri" w:hAnsi="Calibri"/>
          <w:color w:val="000000"/>
          <w:sz w:val="22"/>
        </w:rPr>
        <w:t>MarkVCID instrumental validation reported extremely high inter-rater reliability, high test-retest repeatability, and strong inter-scanner reproducibility in the validation design.</w:t>
      </w:r>
    </w:p>
    <w:p>
      <w:pPr>
        <w:numPr>
          <w:ilvl w:val="0"/>
          <w:numId w:val="10"/>
        </w:numPr>
        <w:spacing w:before="0" w:after="80" w:line="300" w:lineRule="auto"/>
      </w:pPr>
      <w:r>
        <w:rPr>
          <w:rFonts w:ascii="Calibri" w:hAnsi="Calibri"/>
          <w:color w:val="000000"/>
          <w:sz w:val="22"/>
        </w:rPr>
        <w:t>Clinical/biological validation linked higher baseline ARTS scores with worse baseline performance and faster decline in processing-speed/executive measures in independent cohorts.</w:t>
      </w:r>
    </w:p>
    <w:p>
      <w:pPr>
        <w:numPr>
          <w:ilvl w:val="0"/>
          <w:numId w:val="10"/>
        </w:numPr>
        <w:spacing w:before="0" w:after="80" w:line="300" w:lineRule="auto"/>
      </w:pPr>
      <w:r>
        <w:rPr>
          <w:rFonts w:ascii="Calibri" w:hAnsi="Calibri"/>
          <w:color w:val="000000"/>
          <w:sz w:val="22"/>
        </w:rPr>
        <w:t>A later diverse cohort of 1,226 older adults linked higher ARTS with incident MCI, dementia, stroke, and several vascular risk factors, with heterogeneity across racial/ethnic groups.</w:t>
      </w:r>
    </w:p>
    <w:p>
      <w:pPr>
        <w:keepNext/>
        <w:spacing w:before="160" w:after="80"/>
      </w:pPr>
      <w:r>
        <w:rPr>
          <w:rFonts w:ascii="Calibri" w:hAnsi="Calibri"/>
          <w:b/>
          <w:color w:val="1F4D78"/>
          <w:sz w:val="22"/>
        </w:rPr>
        <w:t>What ARTS does not yet justify</w:t>
      </w:r>
    </w:p>
    <w:p>
      <w:pPr>
        <w:numPr>
          <w:ilvl w:val="0"/>
          <w:numId w:val="10"/>
        </w:numPr>
        <w:spacing w:before="0" w:after="80" w:line="300" w:lineRule="auto"/>
      </w:pPr>
      <w:r>
        <w:rPr>
          <w:rFonts w:ascii="Calibri" w:hAnsi="Calibri"/>
          <w:color w:val="000000"/>
          <w:sz w:val="22"/>
        </w:rPr>
        <w:t>It should not be called a definitive clinical diagnosis of arteriolosclerosis.</w:t>
      </w:r>
    </w:p>
    <w:p>
      <w:pPr>
        <w:numPr>
          <w:ilvl w:val="0"/>
          <w:numId w:val="10"/>
        </w:numPr>
        <w:spacing w:before="0" w:after="80" w:line="300" w:lineRule="auto"/>
      </w:pPr>
      <w:r>
        <w:rPr>
          <w:rFonts w:ascii="Calibri" w:hAnsi="Calibri"/>
          <w:color w:val="000000"/>
          <w:sz w:val="22"/>
        </w:rPr>
        <w:t>Its output is not a direct image of the vessel wall.</w:t>
      </w:r>
    </w:p>
    <w:p>
      <w:pPr>
        <w:numPr>
          <w:ilvl w:val="0"/>
          <w:numId w:val="10"/>
        </w:numPr>
        <w:spacing w:before="0" w:after="80" w:line="300" w:lineRule="auto"/>
      </w:pPr>
      <w:r>
        <w:rPr>
          <w:rFonts w:ascii="Calibri" w:hAnsi="Calibri"/>
          <w:color w:val="000000"/>
          <w:sz w:val="22"/>
        </w:rPr>
        <w:t>Validation in very old cohorts does not automatically generalize to midlife, rare genetic cSVD, unusual scanner/protocol distributions, or different disease spectra.</w:t>
      </w:r>
    </w:p>
    <w:p>
      <w:pPr>
        <w:numPr>
          <w:ilvl w:val="0"/>
          <w:numId w:val="10"/>
        </w:numPr>
        <w:spacing w:before="0" w:after="80" w:line="300" w:lineRule="auto"/>
      </w:pPr>
      <w:r>
        <w:rPr>
          <w:rFonts w:ascii="Calibri" w:hAnsi="Calibri"/>
          <w:color w:val="000000"/>
          <w:sz w:val="22"/>
        </w:rPr>
        <w:t>Age and sex are inputs; fairness and transportability must be evaluated, not assumed.</w:t>
      </w:r>
    </w:p>
    <w:p>
      <w:pPr>
        <w:numPr>
          <w:ilvl w:val="0"/>
          <w:numId w:val="10"/>
        </w:numPr>
        <w:spacing w:before="0" w:after="80" w:line="300" w:lineRule="auto"/>
      </w:pPr>
      <w:r>
        <w:rPr>
          <w:rFonts w:ascii="Calibri" w:hAnsi="Calibri"/>
          <w:color w:val="000000"/>
          <w:sz w:val="22"/>
        </w:rPr>
        <w:t>Association with outcomes does not prove that changing the ARTS score changes outcomes.</w:t>
      </w:r>
    </w:p>
    <w:p>
      <w:pPr>
        <w:numPr>
          <w:ilvl w:val="0"/>
          <w:numId w:val="10"/>
        </w:numPr>
        <w:spacing w:before="0" w:after="80" w:line="300" w:lineRule="auto"/>
      </w:pPr>
      <w:r>
        <w:rPr>
          <w:rFonts w:ascii="Calibri" w:hAnsi="Calibri"/>
          <w:color w:val="000000"/>
          <w:sz w:val="22"/>
        </w:rPr>
        <w:t>The composite model can capture correlates of arteriolosclerosis, comorbid pathology, aging, or tissue consequences unless competing pathologies are explicitly tested.</w:t>
      </w:r>
    </w:p>
    <w:p>
      <w:pPr>
        <w:keepNext/>
        <w:spacing w:before="160" w:after="80"/>
      </w:pPr>
      <w:r>
        <w:rPr>
          <w:rFonts w:ascii="Calibri" w:hAnsi="Calibri"/>
          <w:b/>
          <w:color w:val="1F4D78"/>
          <w:sz w:val="22"/>
        </w:rPr>
        <w:t>Access and reproducibility record</w:t>
      </w:r>
    </w:p>
    <w:p>
      <w:pPr>
        <w:numPr>
          <w:ilvl w:val="0"/>
          <w:numId w:val="10"/>
        </w:numPr>
        <w:spacing w:before="0" w:after="80" w:line="300" w:lineRule="auto"/>
      </w:pPr>
      <w:r>
        <w:rPr>
          <w:rFonts w:ascii="Calibri" w:hAnsi="Calibri"/>
          <w:color w:val="000000"/>
          <w:sz w:val="22"/>
        </w:rPr>
        <w:t xml:space="preserve">Tool page: </w:t>
      </w:r>
      <w:hyperlink r:id="rId30">
        <w:r>
          <w:rPr>
            <w:rFonts w:ascii="Calibri" w:hAnsi="Calibri"/>
            <w:color w:val="2E74B5"/>
            <w:u w:val="single"/>
          </w:rPr>
          <w:t>NITRC ARTS biomarker</w:t>
        </w:r>
      </w:hyperlink>
    </w:p>
    <w:p>
      <w:pPr>
        <w:numPr>
          <w:ilvl w:val="0"/>
          <w:numId w:val="10"/>
        </w:numPr>
        <w:spacing w:before="0" w:after="80" w:line="300" w:lineRule="auto"/>
      </w:pPr>
      <w:r>
        <w:rPr>
          <w:rFonts w:ascii="Calibri" w:hAnsi="Calibri"/>
          <w:color w:val="000000"/>
          <w:sz w:val="22"/>
        </w:rPr>
        <w:t xml:space="preserve">MarkVCID protocol/resources: </w:t>
      </w:r>
      <w:hyperlink r:id="rId31">
        <w:r>
          <w:rPr>
            <w:rFonts w:ascii="Calibri" w:hAnsi="Calibri"/>
            <w:color w:val="2E74B5"/>
            <w:u w:val="single"/>
          </w:rPr>
          <w:t>MarkVCID2 protocols</w:t>
        </w:r>
      </w:hyperlink>
    </w:p>
    <w:p>
      <w:pPr>
        <w:numPr>
          <w:ilvl w:val="0"/>
          <w:numId w:val="10"/>
        </w:numPr>
        <w:spacing w:before="0" w:after="80" w:line="300" w:lineRule="auto"/>
      </w:pPr>
      <w:r>
        <w:rPr>
          <w:rFonts w:ascii="Calibri" w:hAnsi="Calibri"/>
          <w:color w:val="000000"/>
          <w:sz w:val="22"/>
        </w:rPr>
        <w:t xml:space="preserve">Initial paper: </w:t>
      </w:r>
      <w:hyperlink r:id="rId32">
        <w:r>
          <w:rPr>
            <w:rFonts w:ascii="Calibri" w:hAnsi="Calibri"/>
            <w:color w:val="2E74B5"/>
            <w:u w:val="single"/>
          </w:rPr>
          <w:t>ARTS: a novel in-vivo classifier</w:t>
        </w:r>
      </w:hyperlink>
    </w:p>
    <w:p>
      <w:pPr>
        <w:numPr>
          <w:ilvl w:val="0"/>
          <w:numId w:val="10"/>
        </w:numPr>
        <w:spacing w:before="0" w:after="80" w:line="300" w:lineRule="auto"/>
      </w:pPr>
      <w:r>
        <w:rPr>
          <w:rFonts w:ascii="Calibri" w:hAnsi="Calibri"/>
          <w:color w:val="000000"/>
          <w:sz w:val="22"/>
        </w:rPr>
        <w:t xml:space="preserve">Validation report: </w:t>
      </w:r>
      <w:hyperlink r:id="rId33">
        <w:r>
          <w:rPr>
            <w:rFonts w:ascii="Calibri" w:hAnsi="Calibri"/>
            <w:color w:val="2E74B5"/>
            <w:u w:val="single"/>
          </w:rPr>
          <w:t>ARTS instrumental and clinical validation</w:t>
        </w:r>
      </w:hyperlink>
    </w:p>
    <w:p>
      <w:pPr>
        <w:spacing w:before="0" w:after="120" w:line="300" w:lineRule="auto"/>
      </w:pPr>
      <w:r>
        <w:rPr>
          <w:rFonts w:ascii="Calibri" w:hAnsi="Calibri"/>
          <w:color w:val="000000"/>
          <w:sz w:val="22"/>
        </w:rPr>
        <w:t>For any ARTS analysis, preserve software version, container hash, input series identifiers, acquisition parameters, DICOM-to-NIfTI conversion provenance, all quality-control failures, demographic inputs, exclusions, and raw output before transformation.</w:t>
      </w:r>
    </w:p>
    <w:p>
      <w:bookmarkStart w:id="55" w:name="section_046"/>
      <w:pPr>
        <w:pStyle w:val="Heading2"/>
      </w:pPr>
      <w:r>
        <w:t>3. MarkVCID biomarker kits</w:t>
      </w:r>
      <w:bookmarkEnd w:id="55"/>
    </w:p>
    <w:p>
      <w:pPr>
        <w:spacing w:before="0" w:after="120" w:line="300" w:lineRule="auto"/>
      </w:pPr>
      <w:r>
        <w:rPr>
          <w:rFonts w:ascii="Calibri" w:hAnsi="Calibri"/>
          <w:color w:val="000000"/>
          <w:sz w:val="22"/>
        </w:rPr>
        <w:t>MarkVCID is an NIH-funded multisite program intended to move promising VCID biomarkers toward trial readiness using common protocols and staged instrumental, biological, and clinical validation.</w:t>
      </w:r>
    </w:p>
    <w:p>
      <w:pPr>
        <w:spacing w:before="0" w:after="120" w:line="300" w:lineRule="auto"/>
      </w:pPr>
      <w:r>
        <w:rPr>
          <w:rFonts w:ascii="Calibri" w:hAnsi="Calibri"/>
          <w:color w:val="000000"/>
          <w:sz w:val="22"/>
        </w:rPr>
        <w:t>Current major MRI/fluid kits include:</w:t>
      </w:r>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Kit: </w:t>
      </w:r>
      <w:r>
        <w:rPr>
          <w:rFonts w:ascii="Calibri" w:hAnsi="Calibri"/>
          <w:color w:val="000000"/>
          <w:sz w:val="19"/>
        </w:rPr>
        <w:t>ARTS</w:t>
      </w:r>
    </w:p>
    <w:p>
      <w:pPr>
        <w:spacing w:before="0" w:after="40" w:line="269" w:lineRule="auto"/>
        <w:ind w:left="317"/>
      </w:pPr>
      <w:r>
        <w:rPr>
          <w:rFonts w:ascii="Calibri" w:hAnsi="Calibri"/>
          <w:b/>
          <w:color w:val="203748"/>
          <w:sz w:val="19"/>
        </w:rPr>
        <w:t xml:space="preserve">Input: </w:t>
      </w:r>
      <w:r>
        <w:rPr>
          <w:rFonts w:ascii="Calibri" w:hAnsi="Calibri"/>
          <w:color w:val="000000"/>
          <w:sz w:val="19"/>
        </w:rPr>
        <w:t>T1, FLAIR, DTI, age, sex</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Arteriolosclerosis likelihood score</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Susceptibility/risk and trial stratification</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Transportability, age range, pathology overlap</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Kit: </w:t>
      </w:r>
      <w:r>
        <w:rPr>
          <w:rFonts w:ascii="Calibri" w:hAnsi="Calibri"/>
          <w:color w:val="000000"/>
          <w:sz w:val="19"/>
        </w:rPr>
        <w:t>PSMD</w:t>
      </w:r>
    </w:p>
    <w:p>
      <w:pPr>
        <w:spacing w:before="0" w:after="40" w:line="269" w:lineRule="auto"/>
        <w:ind w:left="317"/>
      </w:pPr>
      <w:r>
        <w:rPr>
          <w:rFonts w:ascii="Calibri" w:hAnsi="Calibri"/>
          <w:b/>
          <w:color w:val="203748"/>
          <w:sz w:val="19"/>
        </w:rPr>
        <w:t xml:space="preserve">Input: </w:t>
      </w:r>
      <w:r>
        <w:rPr>
          <w:rFonts w:ascii="Calibri" w:hAnsi="Calibri"/>
          <w:color w:val="000000"/>
          <w:sz w:val="19"/>
        </w:rPr>
        <w:t>Preprocessed diffusion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95th minus 5th percentile width of skeletonized mean diffusivity</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Diffuse white-matter injury/risk</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Sensitive to diffusion QC, processing, CSF contamination; not etiologic</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Kit: </w:t>
      </w:r>
      <w:r>
        <w:rPr>
          <w:rFonts w:ascii="Calibri" w:hAnsi="Calibri"/>
          <w:color w:val="000000"/>
          <w:sz w:val="19"/>
        </w:rPr>
        <w:t>Free water</w:t>
      </w:r>
    </w:p>
    <w:p>
      <w:pPr>
        <w:spacing w:before="0" w:after="40" w:line="269" w:lineRule="auto"/>
        <w:ind w:left="317"/>
      </w:pPr>
      <w:r>
        <w:rPr>
          <w:rFonts w:ascii="Calibri" w:hAnsi="Calibri"/>
          <w:b/>
          <w:color w:val="203748"/>
          <w:sz w:val="19"/>
        </w:rPr>
        <w:t xml:space="preserve">Input: </w:t>
      </w:r>
      <w:r>
        <w:rPr>
          <w:rFonts w:ascii="Calibri" w:hAnsi="Calibri"/>
          <w:color w:val="000000"/>
          <w:sz w:val="19"/>
        </w:rPr>
        <w:t>Diffusion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Extracellular free-water fraction</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Tissue injury/risk</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Model and acquisition dependence; inflammation/atrophy can influence</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Kit: </w:t>
      </w:r>
      <w:r>
        <w:rPr>
          <w:rFonts w:ascii="Calibri" w:hAnsi="Calibri"/>
          <w:color w:val="000000"/>
          <w:sz w:val="19"/>
        </w:rPr>
        <w:t>Cerebrovascular reactivity</w:t>
      </w:r>
    </w:p>
    <w:p>
      <w:pPr>
        <w:spacing w:before="0" w:after="40" w:line="269" w:lineRule="auto"/>
        <w:ind w:left="317"/>
      </w:pPr>
      <w:r>
        <w:rPr>
          <w:rFonts w:ascii="Calibri" w:hAnsi="Calibri"/>
          <w:b/>
          <w:color w:val="203748"/>
          <w:sz w:val="19"/>
        </w:rPr>
        <w:t xml:space="preserve">Input: </w:t>
      </w:r>
      <w:r>
        <w:rPr>
          <w:rFonts w:ascii="Calibri" w:hAnsi="Calibri"/>
          <w:color w:val="000000"/>
          <w:sz w:val="19"/>
        </w:rPr>
        <w:t>Controlled CO2/BOLD MRI</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Vascular response to stimulus</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Vascular dysfunction/target engagement candidate</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Gas delivery, physiology, motion, site harmonization</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Kit: </w:t>
      </w:r>
      <w:r>
        <w:rPr>
          <w:rFonts w:ascii="Calibri" w:hAnsi="Calibri"/>
          <w:color w:val="000000"/>
          <w:sz w:val="19"/>
        </w:rPr>
        <w:t>WMH volume</w:t>
      </w:r>
    </w:p>
    <w:p>
      <w:pPr>
        <w:spacing w:before="0" w:after="40" w:line="269" w:lineRule="auto"/>
        <w:ind w:left="317"/>
      </w:pPr>
      <w:r>
        <w:rPr>
          <w:rFonts w:ascii="Calibri" w:hAnsi="Calibri"/>
          <w:b/>
          <w:color w:val="203748"/>
          <w:sz w:val="19"/>
        </w:rPr>
        <w:t xml:space="preserve">Input: </w:t>
      </w:r>
      <w:r>
        <w:rPr>
          <w:rFonts w:ascii="Calibri" w:hAnsi="Calibri"/>
          <w:color w:val="000000"/>
          <w:sz w:val="19"/>
        </w:rPr>
        <w:t>T1 + FLAIR</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Automated lesion volume</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Vascular burden/enrichment</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Algorithm/scanner/domain shift; low specificity</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Kit: </w:t>
      </w:r>
      <w:r>
        <w:rPr>
          <w:rFonts w:ascii="Calibri" w:hAnsi="Calibri"/>
          <w:color w:val="000000"/>
          <w:sz w:val="19"/>
        </w:rPr>
        <w:t>Plasma NfL</w:t>
      </w:r>
    </w:p>
    <w:p>
      <w:pPr>
        <w:spacing w:before="0" w:after="40" w:line="269" w:lineRule="auto"/>
        <w:ind w:left="317"/>
      </w:pPr>
      <w:r>
        <w:rPr>
          <w:rFonts w:ascii="Calibri" w:hAnsi="Calibri"/>
          <w:b/>
          <w:color w:val="203748"/>
          <w:sz w:val="19"/>
        </w:rPr>
        <w:t xml:space="preserve">Input: </w:t>
      </w:r>
      <w:r>
        <w:rPr>
          <w:rFonts w:ascii="Calibri" w:hAnsi="Calibri"/>
          <w:color w:val="000000"/>
          <w:sz w:val="19"/>
        </w:rPr>
        <w:t>Plasma assay</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Axonal injury marker</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Risk stratification</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General injury marker, not cSVD-specific</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Kit: </w:t>
      </w:r>
      <w:r>
        <w:rPr>
          <w:rFonts w:ascii="Calibri" w:hAnsi="Calibri"/>
          <w:color w:val="000000"/>
          <w:sz w:val="19"/>
        </w:rPr>
        <w:t>OCTA vessel skeleton density</w:t>
      </w:r>
    </w:p>
    <w:p>
      <w:pPr>
        <w:spacing w:before="0" w:after="40" w:line="269" w:lineRule="auto"/>
        <w:ind w:left="317"/>
      </w:pPr>
      <w:r>
        <w:rPr>
          <w:rFonts w:ascii="Calibri" w:hAnsi="Calibri"/>
          <w:b/>
          <w:color w:val="203748"/>
          <w:sz w:val="19"/>
        </w:rPr>
        <w:t xml:space="preserve">Input: </w:t>
      </w:r>
      <w:r>
        <w:rPr>
          <w:rFonts w:ascii="Calibri" w:hAnsi="Calibri"/>
          <w:color w:val="000000"/>
          <w:sz w:val="19"/>
        </w:rPr>
        <w:t>Retinal OCT angiography</w:t>
      </w:r>
    </w:p>
    <w:p>
      <w:pPr>
        <w:spacing w:before="0" w:after="40" w:line="269" w:lineRule="auto"/>
        <w:ind w:left="317"/>
      </w:pPr>
      <w:r>
        <w:rPr>
          <w:rFonts w:ascii="Calibri" w:hAnsi="Calibri"/>
          <w:b/>
          <w:color w:val="203748"/>
          <w:sz w:val="19"/>
        </w:rPr>
        <w:t xml:space="preserve">Output concept: </w:t>
      </w:r>
      <w:r>
        <w:rPr>
          <w:rFonts w:ascii="Calibri" w:hAnsi="Calibri"/>
          <w:color w:val="000000"/>
          <w:sz w:val="19"/>
        </w:rPr>
        <w:t>Retinal microvascular density</w:t>
      </w:r>
    </w:p>
    <w:p>
      <w:pPr>
        <w:spacing w:before="0" w:after="40" w:line="269" w:lineRule="auto"/>
        <w:ind w:left="317"/>
      </w:pPr>
      <w:r>
        <w:rPr>
          <w:rFonts w:ascii="Calibri" w:hAnsi="Calibri"/>
          <w:b/>
          <w:color w:val="203748"/>
          <w:sz w:val="19"/>
        </w:rPr>
        <w:t xml:space="preserve">Current intended use: </w:t>
      </w:r>
      <w:r>
        <w:rPr>
          <w:rFonts w:ascii="Calibri" w:hAnsi="Calibri"/>
          <w:color w:val="000000"/>
          <w:sz w:val="19"/>
        </w:rPr>
        <w:t>Candidate accessible microvascular marker</w:t>
      </w:r>
    </w:p>
    <w:p>
      <w:pPr>
        <w:spacing w:before="0" w:after="40" w:line="269" w:lineRule="auto"/>
        <w:ind w:left="317"/>
      </w:pPr>
      <w:r>
        <w:rPr>
          <w:rFonts w:ascii="Calibri" w:hAnsi="Calibri"/>
          <w:b/>
          <w:color w:val="203748"/>
          <w:sz w:val="19"/>
        </w:rPr>
        <w:t xml:space="preserve">Main cautions: </w:t>
      </w:r>
      <w:r>
        <w:rPr>
          <w:rFonts w:ascii="Calibri" w:hAnsi="Calibri"/>
          <w:color w:val="000000"/>
          <w:sz w:val="19"/>
        </w:rPr>
        <w:t>Device/segmentation dependence; brain specificity uncertain</w:t>
      </w:r>
    </w:p>
    <w:p>
      <w:pPr>
        <w:spacing w:before="0" w:after="120" w:line="300" w:lineRule="auto"/>
      </w:pPr>
      <w:r>
        <w:rPr>
          <w:rFonts w:ascii="Calibri" w:hAnsi="Calibri"/>
          <w:color w:val="000000"/>
          <w:sz w:val="22"/>
        </w:rPr>
        <w:t xml:space="preserve">Resources: </w:t>
      </w:r>
      <w:hyperlink r:id="rId34">
        <w:r>
          <w:rPr>
            <w:rFonts w:ascii="Calibri" w:hAnsi="Calibri"/>
            <w:color w:val="2E74B5"/>
            <w:u w:val="single"/>
          </w:rPr>
          <w:t>MarkVCID consortium</w:t>
        </w:r>
      </w:hyperlink>
      <w:r>
        <w:rPr>
          <w:rFonts w:ascii="Calibri" w:hAnsi="Calibri"/>
          <w:color w:val="000000"/>
          <w:sz w:val="22"/>
        </w:rPr>
        <w:t xml:space="preserve">, </w:t>
      </w:r>
      <w:hyperlink r:id="rId35">
        <w:r>
          <w:rPr>
            <w:rFonts w:ascii="Calibri" w:hAnsi="Calibri"/>
            <w:color w:val="2E74B5"/>
            <w:u w:val="single"/>
          </w:rPr>
          <w:t>MarkVCID1 results</w:t>
        </w:r>
      </w:hyperlink>
      <w:r>
        <w:rPr>
          <w:rFonts w:ascii="Calibri" w:hAnsi="Calibri"/>
          <w:color w:val="000000"/>
          <w:sz w:val="22"/>
        </w:rPr>
        <w:t xml:space="preserve">, and </w:t>
      </w:r>
      <w:hyperlink r:id="rId31">
        <w:r>
          <w:rPr>
            <w:rFonts w:ascii="Calibri" w:hAnsi="Calibri"/>
            <w:color w:val="2E74B5"/>
            <w:u w:val="single"/>
          </w:rPr>
          <w:t>MarkVCID2 protocols</w:t>
        </w:r>
      </w:hyperlink>
      <w:r>
        <w:rPr>
          <w:rFonts w:ascii="Calibri" w:hAnsi="Calibri"/>
          <w:color w:val="000000"/>
          <w:sz w:val="22"/>
        </w:rPr>
        <w:t>.</w:t>
      </w:r>
    </w:p>
    <w:p>
      <w:bookmarkStart w:id="56" w:name="section_047"/>
      <w:pPr>
        <w:pStyle w:val="Heading2"/>
      </w:pPr>
      <w:r>
        <w:t>4. CAA biomarkers</w:t>
      </w:r>
      <w:bookmarkEnd w:id="56"/>
    </w:p>
    <w:p>
      <w:pPr>
        <w:keepNext/>
        <w:spacing w:before="160" w:after="80"/>
      </w:pPr>
      <w:r>
        <w:rPr>
          <w:rFonts w:ascii="Calibri" w:hAnsi="Calibri"/>
          <w:b/>
          <w:color w:val="1F4D78"/>
          <w:sz w:val="22"/>
        </w:rPr>
        <w:t>Hemorrhagic MRI markers</w:t>
      </w:r>
    </w:p>
    <w:p>
      <w:pPr>
        <w:spacing w:before="0" w:after="120" w:line="300" w:lineRule="auto"/>
      </w:pPr>
      <w:r>
        <w:rPr>
          <w:rFonts w:ascii="Calibri" w:hAnsi="Calibri"/>
          <w:color w:val="000000"/>
          <w:sz w:val="22"/>
        </w:rPr>
        <w:t>Strictly lobar CMBs, cSS/cSAH, and lobar ICH are the most established clinical imaging signals. cSS extent is also prognostic for recurrent lobar ICH in CAA cohorts. Sequence sensitivity is a major confounder: SWI detects more lesions than many GRE protocols, and field strength/echo time affect counts.</w:t>
      </w:r>
    </w:p>
    <w:p>
      <w:pPr>
        <w:keepNext/>
        <w:spacing w:before="160" w:after="80"/>
      </w:pPr>
      <w:r>
        <w:rPr>
          <w:rFonts w:ascii="Calibri" w:hAnsi="Calibri"/>
          <w:b/>
          <w:color w:val="1F4D78"/>
          <w:sz w:val="22"/>
        </w:rPr>
        <w:t>Non-hemorrhagic MRI markers</w:t>
      </w:r>
    </w:p>
    <w:p>
      <w:pPr>
        <w:numPr>
          <w:ilvl w:val="0"/>
          <w:numId w:val="10"/>
        </w:numPr>
        <w:spacing w:before="0" w:after="80" w:line="300" w:lineRule="auto"/>
      </w:pPr>
      <w:r>
        <w:rPr>
          <w:rFonts w:ascii="Calibri" w:hAnsi="Calibri"/>
          <w:color w:val="000000"/>
          <w:sz w:val="22"/>
        </w:rPr>
        <w:t>severe centrum semiovale PVS;</w:t>
      </w:r>
    </w:p>
    <w:p>
      <w:pPr>
        <w:numPr>
          <w:ilvl w:val="0"/>
          <w:numId w:val="10"/>
        </w:numPr>
        <w:spacing w:before="0" w:after="80" w:line="300" w:lineRule="auto"/>
      </w:pPr>
      <w:r>
        <w:rPr>
          <w:rFonts w:ascii="Calibri" w:hAnsi="Calibri"/>
          <w:color w:val="000000"/>
          <w:sz w:val="22"/>
        </w:rPr>
        <w:t>posterior or multispot WMH patterns;</w:t>
      </w:r>
    </w:p>
    <w:p>
      <w:pPr>
        <w:numPr>
          <w:ilvl w:val="0"/>
          <w:numId w:val="10"/>
        </w:numPr>
        <w:spacing w:before="0" w:after="80" w:line="300" w:lineRule="auto"/>
      </w:pPr>
      <w:r>
        <w:rPr>
          <w:rFonts w:ascii="Calibri" w:hAnsi="Calibri"/>
          <w:color w:val="000000"/>
          <w:sz w:val="22"/>
        </w:rPr>
        <w:t>cortical microinfarcts;</w:t>
      </w:r>
    </w:p>
    <w:p>
      <w:pPr>
        <w:numPr>
          <w:ilvl w:val="0"/>
          <w:numId w:val="10"/>
        </w:numPr>
        <w:spacing w:before="0" w:after="80" w:line="300" w:lineRule="auto"/>
      </w:pPr>
      <w:r>
        <w:rPr>
          <w:rFonts w:ascii="Calibri" w:hAnsi="Calibri"/>
          <w:color w:val="000000"/>
          <w:sz w:val="22"/>
        </w:rPr>
        <w:t>diffusion damage and PSMD;</w:t>
      </w:r>
    </w:p>
    <w:p>
      <w:pPr>
        <w:numPr>
          <w:ilvl w:val="0"/>
          <w:numId w:val="10"/>
        </w:numPr>
        <w:spacing w:before="0" w:after="80" w:line="300" w:lineRule="auto"/>
      </w:pPr>
      <w:r>
        <w:rPr>
          <w:rFonts w:ascii="Calibri" w:hAnsi="Calibri"/>
          <w:color w:val="000000"/>
          <w:sz w:val="22"/>
        </w:rPr>
        <w:t>reduced structural-network efficiency;</w:t>
      </w:r>
    </w:p>
    <w:p>
      <w:pPr>
        <w:numPr>
          <w:ilvl w:val="0"/>
          <w:numId w:val="10"/>
        </w:numPr>
        <w:spacing w:before="0" w:after="80" w:line="300" w:lineRule="auto"/>
      </w:pPr>
      <w:r>
        <w:rPr>
          <w:rFonts w:ascii="Calibri" w:hAnsi="Calibri"/>
          <w:color w:val="000000"/>
          <w:sz w:val="22"/>
        </w:rPr>
        <w:t>altered cerebrovascular reactivity;</w:t>
      </w:r>
    </w:p>
    <w:p>
      <w:pPr>
        <w:numPr>
          <w:ilvl w:val="0"/>
          <w:numId w:val="10"/>
        </w:numPr>
        <w:spacing w:before="0" w:after="80" w:line="300" w:lineRule="auto"/>
      </w:pPr>
      <w:r>
        <w:rPr>
          <w:rFonts w:ascii="Calibri" w:hAnsi="Calibri"/>
          <w:color w:val="000000"/>
          <w:sz w:val="22"/>
        </w:rPr>
        <w:t>cortical thinning and atrophy;</w:t>
      </w:r>
    </w:p>
    <w:p>
      <w:pPr>
        <w:numPr>
          <w:ilvl w:val="0"/>
          <w:numId w:val="10"/>
        </w:numPr>
        <w:spacing w:before="0" w:after="80" w:line="300" w:lineRule="auto"/>
      </w:pPr>
      <w:r>
        <w:rPr>
          <w:rFonts w:ascii="Calibri" w:hAnsi="Calibri"/>
          <w:color w:val="000000"/>
          <w:sz w:val="22"/>
        </w:rPr>
        <w:t>BBB permeability and vascular-function measures.</w:t>
      </w:r>
    </w:p>
    <w:p>
      <w:pPr>
        <w:spacing w:before="0" w:after="120" w:line="300" w:lineRule="auto"/>
      </w:pPr>
      <w:r>
        <w:rPr>
          <w:rFonts w:ascii="Calibri" w:hAnsi="Calibri"/>
          <w:color w:val="000000"/>
          <w:sz w:val="22"/>
        </w:rPr>
        <w:t>These markers may occur earlier or correlate more closely with cognition than microbleed count. Most lack the etiologic specificity to stand alone.</w:t>
      </w:r>
    </w:p>
    <w:p>
      <w:pPr>
        <w:keepNext/>
        <w:spacing w:before="160" w:after="80"/>
      </w:pPr>
      <w:r>
        <w:rPr>
          <w:rFonts w:ascii="Calibri" w:hAnsi="Calibri"/>
          <w:b/>
          <w:color w:val="1F4D78"/>
          <w:sz w:val="22"/>
        </w:rPr>
        <w:t>Amyloid PET</w:t>
      </w:r>
    </w:p>
    <w:p>
      <w:pPr>
        <w:spacing w:before="0" w:after="120" w:line="300" w:lineRule="auto"/>
      </w:pPr>
      <w:r>
        <w:rPr>
          <w:rFonts w:ascii="Calibri" w:hAnsi="Calibri"/>
          <w:color w:val="000000"/>
          <w:sz w:val="22"/>
        </w:rPr>
        <w:t>Amyloid PET can be sensitive to cerebral amyloid but cannot readily separate vascular from parenchymal amyloid. A negative scan may be useful in selected diagnostic contexts; a positive scan is less specific because Alzheimer-type plaques are common. Tracer, reference region, partial-volume correction, disease stage, and coexisting AD must be modeled.</w:t>
      </w:r>
    </w:p>
    <w:p>
      <w:pPr>
        <w:keepNext/>
        <w:spacing w:before="160" w:after="80"/>
      </w:pPr>
      <w:r>
        <w:rPr>
          <w:rFonts w:ascii="Calibri" w:hAnsi="Calibri"/>
          <w:b/>
          <w:color w:val="1F4D78"/>
          <w:sz w:val="22"/>
        </w:rPr>
        <w:t>CSF</w:t>
      </w:r>
    </w:p>
    <w:p>
      <w:pPr>
        <w:spacing w:before="0" w:after="120" w:line="300" w:lineRule="auto"/>
      </w:pPr>
      <w:r>
        <w:rPr>
          <w:rFonts w:ascii="Calibri" w:hAnsi="Calibri"/>
          <w:color w:val="000000"/>
          <w:sz w:val="22"/>
        </w:rPr>
        <w:t>Across studies, CAA is often associated with lower CSF Aβ40 and Aβ42, while tau patterns help distinguish or identify coexisting AD. Meta-analyses and newer cohorts support signal, but assay platforms, diagnostic reference standards, and overlap limit stand-alone use. CSF biomarkers are not part of Boston v2.0.</w:t>
      </w:r>
    </w:p>
    <w:p>
      <w:pPr>
        <w:keepNext/>
        <w:spacing w:before="160" w:after="80"/>
      </w:pPr>
      <w:r>
        <w:rPr>
          <w:rFonts w:ascii="Calibri" w:hAnsi="Calibri"/>
          <w:b/>
          <w:color w:val="1F4D78"/>
          <w:sz w:val="22"/>
        </w:rPr>
        <w:t>Blood</w:t>
      </w:r>
    </w:p>
    <w:p>
      <w:pPr>
        <w:spacing w:before="0" w:after="120" w:line="300" w:lineRule="auto"/>
      </w:pPr>
      <w:r>
        <w:rPr>
          <w:rFonts w:ascii="Calibri" w:hAnsi="Calibri"/>
          <w:color w:val="000000"/>
          <w:sz w:val="22"/>
        </w:rPr>
        <w:t>Plasma proteomic, vascular-injury, inflammatory, Aβ, and APOE-related signatures are active research areas. Recent exploratory studies report candidate protein panels associated with lobar CMBs or neuropathologic CAA. These require independent, prospective, spectrum-appropriate replication and comparison against AD, arteriolosclerosis, renal function, age, and systemic vascular disease.</w:t>
      </w:r>
    </w:p>
    <w:p>
      <w:pPr>
        <w:keepNext/>
        <w:spacing w:before="160" w:after="80"/>
      </w:pPr>
      <w:r>
        <w:rPr>
          <w:rFonts w:ascii="Calibri" w:hAnsi="Calibri"/>
          <w:b/>
          <w:color w:val="1F4D78"/>
          <w:sz w:val="22"/>
        </w:rPr>
        <w:t>Genetic information</w:t>
      </w:r>
    </w:p>
    <w:p>
      <w:pPr>
        <w:numPr>
          <w:ilvl w:val="0"/>
          <w:numId w:val="10"/>
        </w:numPr>
        <w:spacing w:before="0" w:after="80" w:line="300" w:lineRule="auto"/>
      </w:pPr>
      <w:r>
        <w:rPr>
          <w:rFonts w:ascii="Calibri" w:hAnsi="Calibri"/>
          <w:color w:val="000000"/>
          <w:sz w:val="22"/>
        </w:rPr>
        <w:t>APOE ε4 is associated with CAA presence/amyloid deposition and capillary CAA.</w:t>
      </w:r>
    </w:p>
    <w:p>
      <w:pPr>
        <w:numPr>
          <w:ilvl w:val="0"/>
          <w:numId w:val="10"/>
        </w:numPr>
        <w:spacing w:before="0" w:after="80" w:line="300" w:lineRule="auto"/>
      </w:pPr>
      <w:r>
        <w:rPr>
          <w:rFonts w:ascii="Calibri" w:hAnsi="Calibri"/>
          <w:color w:val="000000"/>
          <w:sz w:val="22"/>
        </w:rPr>
        <w:t>APOE ε2 is associated with severe vasculopathic/hemorrhagic manifestations in several cohorts.</w:t>
      </w:r>
    </w:p>
    <w:p>
      <w:pPr>
        <w:numPr>
          <w:ilvl w:val="0"/>
          <w:numId w:val="10"/>
        </w:numPr>
        <w:spacing w:before="0" w:after="80" w:line="300" w:lineRule="auto"/>
      </w:pPr>
      <w:r>
        <w:rPr>
          <w:rFonts w:ascii="Calibri" w:hAnsi="Calibri"/>
          <w:color w:val="000000"/>
          <w:sz w:val="22"/>
        </w:rPr>
        <w:t>APP mutations cause hereditary CAA syndromes such as Dutch-type CAA; other genes/proteins cause rarer amyloid angiopathies.</w:t>
      </w:r>
    </w:p>
    <w:p>
      <w:pPr>
        <w:spacing w:before="0" w:after="120" w:line="300" w:lineRule="auto"/>
      </w:pPr>
      <w:r>
        <w:rPr>
          <w:rFonts w:ascii="Calibri" w:hAnsi="Calibri"/>
          <w:color w:val="000000"/>
          <w:sz w:val="22"/>
        </w:rPr>
        <w:t>Genetic association is not deterministic diagnosis in sporadic disease. Ancestry, allele frequency, selection, and treatment context matter.</w:t>
      </w:r>
    </w:p>
    <w:p>
      <w:bookmarkStart w:id="57" w:name="section_048"/>
      <w:pPr>
        <w:pStyle w:val="Heading2"/>
      </w:pPr>
      <w:r>
        <w:t>5. Visual rating tools</w:t>
      </w:r>
      <w:bookmarkEnd w:id="57"/>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Tool</w:t>
            </w:r>
          </w:p>
        </w:tc>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Measures</w:t>
            </w:r>
          </w:p>
        </w:tc>
        <w:tc>
          <w:tcPr>
            <w:tcW w:type="dxa" w:w="312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Recommended archive item</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MARS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CMB certainty, count, and anatomy</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Rating form, training cases, rater ID, sequence parameters</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BOMBS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presence/distribution with mimic guidance</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Scale version, adjudication log</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CHARTS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Anatomic features of cerebral hemorrhage on CT</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Completed form and reader reliability</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Fazekas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Periventricular and deep WMH severity</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Both component scores, not only total</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Scheltens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Regional WMH burden</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Region-level values and total</w:t>
            </w:r>
          </w:p>
        </w:tc>
      </w:tr>
      <w:tr>
        <w:trPr>
          <w:cantSplit/>
        </w:trPr>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Potter/Wardlaw PVS scales</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PVS burden by region</w:t>
            </w:r>
          </w:p>
        </w:tc>
        <w:tc>
          <w:tcPr>
            <w:tcW w:type="dxa" w:w="312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Basal ganglia and centrum semiovale separately</w:t>
            </w:r>
          </w:p>
        </w:tc>
      </w:tr>
      <w:tr>
        <w:trPr>
          <w:cantSplit/>
        </w:trPr>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cSS focal/disseminated and multifocality scales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Extent/distribution of superficial siderosis</w:t>
            </w:r>
          </w:p>
        </w:tc>
        <w:tc>
          <w:tcPr>
            <w:tcW w:type="dxa" w:w="312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Sulci/foci map, not only binary presence</w:t>
            </w:r>
          </w:p>
        </w:tc>
      </w:tr>
    </w:tbl>
    <w:p>
      <w:pPr>
        <w:spacing w:before="0" w:after="40" w:line="240" w:lineRule="auto"/>
      </w:pPr>
    </w:p>
    <w:p>
      <w:pPr>
        <w:spacing w:before="0" w:after="120" w:line="300" w:lineRule="auto"/>
      </w:pPr>
      <w:r>
        <w:rPr>
          <w:rFonts w:ascii="Calibri" w:hAnsi="Calibri"/>
          <w:color w:val="000000"/>
          <w:sz w:val="22"/>
        </w:rPr>
        <w:t>Rating forms and atlases should be versioned. Training examples should include mimics and uncertainty, not only textbook-positive cases.</w:t>
      </w:r>
    </w:p>
    <w:p>
      <w:bookmarkStart w:id="58" w:name="section_049"/>
      <w:pPr>
        <w:pStyle w:val="Heading2"/>
      </w:pPr>
      <w:r>
        <w:t>6. Open and common computational tools</w:t>
      </w:r>
      <w:bookmarkEnd w:id="58"/>
    </w:p>
    <w:p>
      <w:pPr>
        <w:keepNext/>
        <w:spacing w:before="160" w:after="80"/>
      </w:pPr>
      <w:r>
        <w:rPr>
          <w:rFonts w:ascii="Calibri" w:hAnsi="Calibri"/>
          <w:b/>
          <w:color w:val="1F4D78"/>
          <w:sz w:val="22"/>
        </w:rPr>
        <w:t>WMH segmentation</w:t>
      </w:r>
    </w:p>
    <w:p>
      <w:pPr>
        <w:numPr>
          <w:ilvl w:val="0"/>
          <w:numId w:val="10"/>
        </w:numPr>
        <w:spacing w:before="0" w:after="80" w:line="300" w:lineRule="auto"/>
      </w:pPr>
      <w:r>
        <w:rPr>
          <w:rFonts w:ascii="Calibri" w:hAnsi="Calibri"/>
          <w:b/>
          <w:color w:val="000000"/>
          <w:sz w:val="22"/>
        </w:rPr>
        <w:t>LST-LGA/LPA:</w:t>
      </w:r>
      <w:r>
        <w:rPr>
          <w:rFonts w:ascii="Calibri" w:hAnsi="Calibri"/>
          <w:color w:val="000000"/>
          <w:sz w:val="22"/>
        </w:rPr>
        <w:t xml:space="preserve"> SPM-based lesion growth/prediction algorithms; widely used, originally developed in multiple-sclerosis contexts and often adapted to aging WMH.</w:t>
      </w:r>
    </w:p>
    <w:p>
      <w:pPr>
        <w:numPr>
          <w:ilvl w:val="0"/>
          <w:numId w:val="10"/>
        </w:numPr>
        <w:spacing w:before="0" w:after="80" w:line="300" w:lineRule="auto"/>
      </w:pPr>
      <w:r>
        <w:rPr>
          <w:rFonts w:ascii="Calibri" w:hAnsi="Calibri"/>
          <w:b/>
          <w:color w:val="000000"/>
          <w:sz w:val="22"/>
        </w:rPr>
        <w:t>BIANCA:</w:t>
      </w:r>
      <w:r>
        <w:rPr>
          <w:rFonts w:ascii="Calibri" w:hAnsi="Calibri"/>
          <w:color w:val="000000"/>
          <w:sz w:val="22"/>
        </w:rPr>
        <w:t xml:space="preserve"> FSL supervised classifier for white-matter hyperintensities; requires representative training labels and careful thresholding.</w:t>
      </w:r>
    </w:p>
    <w:p>
      <w:pPr>
        <w:numPr>
          <w:ilvl w:val="0"/>
          <w:numId w:val="10"/>
        </w:numPr>
        <w:spacing w:before="0" w:after="80" w:line="300" w:lineRule="auto"/>
      </w:pPr>
      <w:r>
        <w:rPr>
          <w:rFonts w:ascii="Calibri" w:hAnsi="Calibri"/>
          <w:b/>
          <w:color w:val="000000"/>
          <w:sz w:val="22"/>
        </w:rPr>
        <w:t>SAMSEG:</w:t>
      </w:r>
      <w:r>
        <w:rPr>
          <w:rFonts w:ascii="Calibri" w:hAnsi="Calibri"/>
          <w:color w:val="000000"/>
          <w:sz w:val="22"/>
        </w:rPr>
        <w:t xml:space="preserve"> sequence-adaptive Bayesian segmentation in FreeSurfer; supports lesion segmentation in multimodal data.</w:t>
      </w:r>
    </w:p>
    <w:p>
      <w:pPr>
        <w:numPr>
          <w:ilvl w:val="0"/>
          <w:numId w:val="10"/>
        </w:numPr>
        <w:spacing w:before="0" w:after="80" w:line="300" w:lineRule="auto"/>
      </w:pPr>
      <w:r>
        <w:rPr>
          <w:rFonts w:ascii="Calibri" w:hAnsi="Calibri"/>
          <w:b/>
          <w:color w:val="000000"/>
          <w:sz w:val="22"/>
        </w:rPr>
        <w:t>WMH Segmentation Challenge containers:</w:t>
      </w:r>
      <w:r>
        <w:rPr>
          <w:rFonts w:ascii="Calibri" w:hAnsi="Calibri"/>
          <w:color w:val="000000"/>
          <w:sz w:val="22"/>
        </w:rPr>
        <w:t xml:space="preserve"> standardized benchmark methods; benchmark rank does not guarantee transportability to a new cohort.</w:t>
      </w:r>
    </w:p>
    <w:p>
      <w:pPr>
        <w:numPr>
          <w:ilvl w:val="0"/>
          <w:numId w:val="10"/>
        </w:numPr>
        <w:spacing w:before="0" w:after="80" w:line="300" w:lineRule="auto"/>
      </w:pPr>
      <w:r>
        <w:rPr>
          <w:rFonts w:ascii="Calibri" w:hAnsi="Calibri"/>
          <w:b/>
          <w:color w:val="000000"/>
          <w:sz w:val="22"/>
        </w:rPr>
        <w:t>nnU-Net/custom U-Net pipelines:</w:t>
      </w:r>
      <w:r>
        <w:rPr>
          <w:rFonts w:ascii="Calibri" w:hAnsi="Calibri"/>
          <w:color w:val="000000"/>
          <w:sz w:val="22"/>
        </w:rPr>
        <w:t xml:space="preserve"> powerful when trained and externally validated; susceptible to scanner and population domain shift.</w:t>
      </w:r>
    </w:p>
    <w:p>
      <w:pPr>
        <w:spacing w:before="0" w:after="120" w:line="300" w:lineRule="auto"/>
      </w:pPr>
      <w:r>
        <w:rPr>
          <w:rFonts w:ascii="Calibri" w:hAnsi="Calibri"/>
          <w:color w:val="000000"/>
          <w:sz w:val="22"/>
        </w:rPr>
        <w:t>For all automated WMH tools, perform blinded manual QC, record failure categories, assess small-lesion false positives, and compare performance across scanner, site, race/ethnicity, age, lesion burden, and co-pathology.</w:t>
      </w:r>
    </w:p>
    <w:p>
      <w:pPr>
        <w:keepNext/>
        <w:spacing w:before="160" w:after="80"/>
      </w:pPr>
      <w:r>
        <w:rPr>
          <w:rFonts w:ascii="Calibri" w:hAnsi="Calibri"/>
          <w:b/>
          <w:color w:val="1F4D78"/>
          <w:sz w:val="22"/>
        </w:rPr>
        <w:t>Diffusion and microstructure</w:t>
      </w:r>
    </w:p>
    <w:p>
      <w:pPr>
        <w:numPr>
          <w:ilvl w:val="0"/>
          <w:numId w:val="10"/>
        </w:numPr>
        <w:spacing w:before="0" w:after="80" w:line="300" w:lineRule="auto"/>
      </w:pPr>
      <w:r>
        <w:rPr>
          <w:rFonts w:ascii="Calibri" w:hAnsi="Calibri"/>
          <w:b/>
          <w:color w:val="000000"/>
          <w:sz w:val="22"/>
        </w:rPr>
        <w:t>PSMD toolbox:</w:t>
      </w:r>
      <w:r>
        <w:rPr>
          <w:rFonts w:ascii="Calibri" w:hAnsi="Calibri"/>
          <w:color w:val="000000"/>
          <w:sz w:val="22"/>
        </w:rPr>
        <w:t xml:space="preserve"> </w:t>
      </w:r>
      <w:hyperlink r:id="rId36">
        <w:r>
          <w:rPr>
            <w:rFonts w:ascii="Calibri" w:hAnsi="Calibri"/>
            <w:color w:val="2E74B5"/>
            <w:u w:val="single"/>
          </w:rPr>
          <w:t>miac-research/psmd</w:t>
        </w:r>
      </w:hyperlink>
      <w:r>
        <w:rPr>
          <w:rFonts w:ascii="Calibri" w:hAnsi="Calibri"/>
          <w:color w:val="000000"/>
          <w:sz w:val="22"/>
        </w:rPr>
        <w:t>, using FSL/TBSS-based skeletonization and histogram analysis.</w:t>
      </w:r>
    </w:p>
    <w:p>
      <w:pPr>
        <w:numPr>
          <w:ilvl w:val="0"/>
          <w:numId w:val="10"/>
        </w:numPr>
        <w:spacing w:before="0" w:after="80" w:line="300" w:lineRule="auto"/>
      </w:pPr>
      <w:r>
        <w:rPr>
          <w:rFonts w:ascii="Calibri" w:hAnsi="Calibri"/>
          <w:b/>
          <w:color w:val="000000"/>
          <w:sz w:val="22"/>
        </w:rPr>
        <w:t>FSL diffusion tools:</w:t>
      </w:r>
      <w:r>
        <w:rPr>
          <w:rFonts w:ascii="Calibri" w:hAnsi="Calibri"/>
          <w:color w:val="000000"/>
          <w:sz w:val="22"/>
        </w:rPr>
        <w:t xml:space="preserve"> TOPUP, EDDY, DTIFIT, and TBSS; acquisition-specific QC is essential.</w:t>
      </w:r>
    </w:p>
    <w:p>
      <w:pPr>
        <w:numPr>
          <w:ilvl w:val="0"/>
          <w:numId w:val="10"/>
        </w:numPr>
        <w:spacing w:before="0" w:after="80" w:line="300" w:lineRule="auto"/>
      </w:pPr>
      <w:r>
        <w:rPr>
          <w:rFonts w:ascii="Calibri" w:hAnsi="Calibri"/>
          <w:b/>
          <w:color w:val="000000"/>
          <w:sz w:val="22"/>
        </w:rPr>
        <w:t>Free-water models:</w:t>
      </w:r>
      <w:r>
        <w:rPr>
          <w:rFonts w:ascii="Calibri" w:hAnsi="Calibri"/>
          <w:color w:val="000000"/>
          <w:sz w:val="22"/>
        </w:rPr>
        <w:t xml:space="preserve"> implementation and fitting choices vary; keep code/version and parameter maps.</w:t>
      </w:r>
    </w:p>
    <w:p>
      <w:pPr>
        <w:keepNext/>
        <w:spacing w:before="160" w:after="80"/>
      </w:pPr>
      <w:r>
        <w:rPr>
          <w:rFonts w:ascii="Calibri" w:hAnsi="Calibri"/>
          <w:b/>
          <w:color w:val="1F4D78"/>
          <w:sz w:val="22"/>
        </w:rPr>
        <w:t>Microbleed detection</w:t>
      </w:r>
    </w:p>
    <w:p>
      <w:pPr>
        <w:spacing w:before="0" w:after="120" w:line="300" w:lineRule="auto"/>
      </w:pPr>
      <w:r>
        <w:rPr>
          <w:rFonts w:ascii="Calibri" w:hAnsi="Calibri"/>
          <w:color w:val="000000"/>
          <w:sz w:val="22"/>
        </w:rPr>
        <w:t>Automated CMB detectors are improving but face severe class imbalance and mimics from vessels, calcification, and susceptibility artifact. Evaluate lesion-level sensitivity and false positives per scan, not only voxel Dice or patient-level AUC. External validation on different SWI/GRE protocols is essential.</w:t>
      </w:r>
    </w:p>
    <w:p>
      <w:pPr>
        <w:keepNext/>
        <w:spacing w:before="160" w:after="80"/>
      </w:pPr>
      <w:r>
        <w:rPr>
          <w:rFonts w:ascii="Calibri" w:hAnsi="Calibri"/>
          <w:b/>
          <w:color w:val="1F4D78"/>
          <w:sz w:val="22"/>
        </w:rPr>
        <w:t>Structural/network analysis</w:t>
      </w:r>
    </w:p>
    <w:p>
      <w:pPr>
        <w:numPr>
          <w:ilvl w:val="0"/>
          <w:numId w:val="10"/>
        </w:numPr>
        <w:spacing w:before="0" w:after="80" w:line="300" w:lineRule="auto"/>
      </w:pPr>
      <w:r>
        <w:rPr>
          <w:rFonts w:ascii="Calibri" w:hAnsi="Calibri"/>
          <w:b/>
          <w:color w:val="000000"/>
          <w:sz w:val="22"/>
        </w:rPr>
        <w:t>FreeSurfer:</w:t>
      </w:r>
      <w:r>
        <w:rPr>
          <w:rFonts w:ascii="Calibri" w:hAnsi="Calibri"/>
          <w:color w:val="000000"/>
          <w:sz w:val="22"/>
        </w:rPr>
        <w:t xml:space="preserve"> cortical thickness, volume, and surface reconstruction.</w:t>
      </w:r>
    </w:p>
    <w:p>
      <w:pPr>
        <w:numPr>
          <w:ilvl w:val="0"/>
          <w:numId w:val="10"/>
        </w:numPr>
        <w:spacing w:before="0" w:after="80" w:line="300" w:lineRule="auto"/>
      </w:pPr>
      <w:r>
        <w:rPr>
          <w:rFonts w:ascii="Calibri" w:hAnsi="Calibri"/>
          <w:b/>
          <w:color w:val="000000"/>
          <w:sz w:val="22"/>
        </w:rPr>
        <w:t>FSL/ANTs:</w:t>
      </w:r>
      <w:r>
        <w:rPr>
          <w:rFonts w:ascii="Calibri" w:hAnsi="Calibri"/>
          <w:color w:val="000000"/>
          <w:sz w:val="22"/>
        </w:rPr>
        <w:t xml:space="preserve"> registration, segmentation, and image processing.</w:t>
      </w:r>
    </w:p>
    <w:p>
      <w:pPr>
        <w:numPr>
          <w:ilvl w:val="0"/>
          <w:numId w:val="10"/>
        </w:numPr>
        <w:spacing w:before="0" w:after="80" w:line="300" w:lineRule="auto"/>
      </w:pPr>
      <w:r>
        <w:rPr>
          <w:rFonts w:ascii="Calibri" w:hAnsi="Calibri"/>
          <w:b/>
          <w:color w:val="000000"/>
          <w:sz w:val="22"/>
        </w:rPr>
        <w:t>MRtrix3:</w:t>
      </w:r>
      <w:r>
        <w:rPr>
          <w:rFonts w:ascii="Calibri" w:hAnsi="Calibri"/>
          <w:color w:val="000000"/>
          <w:sz w:val="22"/>
        </w:rPr>
        <w:t xml:space="preserve"> tractography and structural connectomics.</w:t>
      </w:r>
    </w:p>
    <w:p>
      <w:pPr>
        <w:numPr>
          <w:ilvl w:val="0"/>
          <w:numId w:val="10"/>
        </w:numPr>
        <w:spacing w:before="0" w:after="80" w:line="300" w:lineRule="auto"/>
      </w:pPr>
      <w:r>
        <w:rPr>
          <w:rFonts w:ascii="Calibri" w:hAnsi="Calibri"/>
          <w:b/>
          <w:color w:val="000000"/>
          <w:sz w:val="22"/>
        </w:rPr>
        <w:t>QSIPrep/fMRIPrep-like reproducible pipelines:</w:t>
      </w:r>
      <w:r>
        <w:rPr>
          <w:rFonts w:ascii="Calibri" w:hAnsi="Calibri"/>
          <w:color w:val="000000"/>
          <w:sz w:val="22"/>
        </w:rPr>
        <w:t xml:space="preserve"> useful for standardized preprocessing, but cSVD lesions can break assumptions and require lesion-aware QC.</w:t>
      </w:r>
    </w:p>
    <w:p>
      <w:pPr>
        <w:keepNext/>
        <w:spacing w:before="160" w:after="80"/>
      </w:pPr>
      <w:r>
        <w:rPr>
          <w:rFonts w:ascii="Calibri" w:hAnsi="Calibri"/>
          <w:b/>
          <w:color w:val="1F4D78"/>
          <w:sz w:val="22"/>
        </w:rPr>
        <w:t>Digital pathology</w:t>
      </w:r>
    </w:p>
    <w:p>
      <w:pPr>
        <w:spacing w:before="0" w:after="120" w:line="300" w:lineRule="auto"/>
      </w:pPr>
      <w:r>
        <w:rPr>
          <w:rFonts w:ascii="Calibri" w:hAnsi="Calibri"/>
          <w:color w:val="000000"/>
          <w:sz w:val="22"/>
        </w:rPr>
        <w:t>The Perosa/Scherlek workflow trained separate deep-learning models for parenchymal Aβ plaques, vascular Aβ, iron/calcium, astrocytes, microglia, and fibrin extravasation. The key methodological lesson is to retain marker-specific outputs and expert QC rather than collapsing all staining into one pathology score.</w:t>
      </w:r>
    </w:p>
    <w:p>
      <w:pPr>
        <w:spacing w:before="0" w:after="120" w:line="300" w:lineRule="auto"/>
      </w:pPr>
      <w:r>
        <w:rPr>
          <w:rFonts w:ascii="Calibri" w:hAnsi="Calibri"/>
          <w:color w:val="000000"/>
          <w:sz w:val="22"/>
        </w:rPr>
        <w:t>Useful platforms include QuPath and slide-specific deep-learning frameworks. Cross-laboratory stain normalization, scanner differences, annotation policy, tissue folds, vessel-size definitions, and spatial registration to MRI are first-order problems.</w:t>
      </w:r>
    </w:p>
    <w:p>
      <w:bookmarkStart w:id="59" w:name="section_050"/>
      <w:pPr>
        <w:pStyle w:val="Heading2"/>
      </w:pPr>
      <w:r>
        <w:t>7. Literature and evidence-archive tools</w:t>
      </w:r>
      <w:bookmarkEnd w:id="59"/>
    </w:p>
    <w:tbl>
      <w:tblPr>
        <w:tblStyle w:val="TableGrid"/>
        <w:tblW w:type="dxa" w:w="9360"/>
        <w:jc w:val="left"/>
        <w:tblLayout w:type="fixed"/>
        <w:tblLook w:firstColumn="1" w:firstRow="1" w:lastColumn="0" w:lastRow="0" w:noHBand="0" w:noVBand="1" w:val="04A0"/>
        <w:tblInd w:w="120" w:type="dxa"/>
      </w:tblPr>
      <w:tblGrid>
        <w:gridCol w:w="2304"/>
        <w:gridCol w:w="1296"/>
        <w:gridCol w:w="2880"/>
        <w:gridCol w:w="2880"/>
      </w:tblGrid>
      <w:tr>
        <w:trPr>
          <w:tblHeader w:val="true"/>
          <w:cantSplit/>
        </w:trPr>
        <w:tc>
          <w:tcPr>
            <w:tcW w:type="dxa" w:w="2304"/>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Need</w:t>
            </w:r>
          </w:p>
        </w:tc>
        <w:tc>
          <w:tcPr>
            <w:tcW w:type="dxa" w:w="1296"/>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Tool class</w:t>
            </w:r>
          </w:p>
        </w:tc>
        <w:tc>
          <w:tcPr>
            <w:tcW w:type="dxa" w:w="288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Examples</w:t>
            </w:r>
          </w:p>
        </w:tc>
        <w:tc>
          <w:tcPr>
            <w:tcW w:type="dxa" w:w="288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Quality control</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Citation library</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Reference manager</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Zotero, EndNote</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Save DOI/PMID, tags, notes, lawful link, duplicate merge history</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Biomedical search</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Curated index</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PubMed/MEDLINE, Embase</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Store exact query, date, filters, and result count</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Forward/backward citation search</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Citation graph</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OpenAlex, Web of Science, Scopus, Semantic Scholar</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Verify metadata against DOI/publisher</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Screening</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Review platform</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Rayyan, Covidence, ASReview</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Export decisions and exclusion reasons</w:t>
            </w:r>
          </w:p>
        </w:tc>
      </w:tr>
      <w:tr>
        <w:trPr>
          <w:cantSplit/>
        </w:trPr>
        <w:tc>
          <w:tcPr>
            <w:tcW w:type="dxa" w:w="2304"/>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Living alerts</w:t>
            </w:r>
          </w:p>
        </w:tc>
        <w:tc>
          <w:tcPr>
            <w:tcW w:type="dxa" w:w="1296"/>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Automated search</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PubMed/MyNCBI, Crossref/OpenAlex scripts</w:t>
            </w:r>
          </w:p>
        </w:tc>
        <w:tc>
          <w:tcPr>
            <w:tcW w:type="dxa" w:w="288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Deduplicate and manually triage</w:t>
            </w:r>
          </w:p>
        </w:tc>
      </w:tr>
      <w:tr>
        <w:trPr>
          <w:cantSplit/>
        </w:trPr>
        <w:tc>
          <w:tcPr>
            <w:tcW w:type="dxa" w:w="2304"/>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Reproducible extraction</w:t>
            </w:r>
          </w:p>
        </w:tc>
        <w:tc>
          <w:tcPr>
            <w:tcW w:type="dxa" w:w="1296"/>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Structured records</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CSV/JSON + templates in this repository</w:t>
            </w:r>
          </w:p>
        </w:tc>
        <w:tc>
          <w:tcPr>
            <w:tcW w:type="dxa" w:w="288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Two-person review for high-stakes claims</w:t>
            </w:r>
          </w:p>
        </w:tc>
      </w:tr>
    </w:tbl>
    <w:p>
      <w:pPr>
        <w:spacing w:before="0" w:after="40" w:line="240" w:lineRule="auto"/>
      </w:pPr>
    </w:p>
    <w:p>
      <w:pPr>
        <w:spacing w:before="0" w:after="120" w:line="300" w:lineRule="auto"/>
      </w:pPr>
      <w:r>
        <w:rPr>
          <w:rFonts w:ascii="Calibri" w:hAnsi="Calibri"/>
          <w:color w:val="000000"/>
          <w:sz w:val="22"/>
        </w:rPr>
        <w:t>Discovery tools such as Connected Papers, ResearchRabbit, and Litmaps are useful for finding neighborhoods of papers but should not define completeness. Search strategy and eligibility rules should be documented independently.</w:t>
      </w:r>
    </w:p>
    <w:p>
      <w:bookmarkStart w:id="60" w:name="section_051"/>
      <w:pPr>
        <w:pStyle w:val="Heading2"/>
      </w:pPr>
      <w:r>
        <w:t>8. Minimum tool-record schema</w:t>
      </w:r>
      <w:bookmarkEnd w:id="60"/>
    </w:p>
    <w:p>
      <w:pPr>
        <w:spacing w:before="0" w:after="120" w:line="300" w:lineRule="auto"/>
      </w:pPr>
      <w:r>
        <w:rPr>
          <w:rFonts w:ascii="Calibri" w:hAnsi="Calibri"/>
          <w:color w:val="000000"/>
          <w:sz w:val="22"/>
        </w:rPr>
        <w:t>Every tool record should contain:</w:t>
      </w:r>
    </w:p>
    <w:p>
      <w:pPr>
        <w:numPr>
          <w:ilvl w:val="0"/>
          <w:numId w:val="10"/>
        </w:numPr>
        <w:spacing w:before="0" w:after="80" w:line="300" w:lineRule="auto"/>
      </w:pPr>
      <w:r>
        <w:rPr>
          <w:rFonts w:ascii="Calibri" w:hAnsi="Calibri"/>
          <w:color w:val="000000"/>
          <w:sz w:val="22"/>
        </w:rPr>
        <w:t>name, version, owner, and stable URL;</w:t>
      </w:r>
    </w:p>
    <w:p>
      <w:pPr>
        <w:numPr>
          <w:ilvl w:val="0"/>
          <w:numId w:val="10"/>
        </w:numPr>
        <w:spacing w:before="0" w:after="80" w:line="300" w:lineRule="auto"/>
      </w:pPr>
      <w:r>
        <w:rPr>
          <w:rFonts w:ascii="Calibri" w:hAnsi="Calibri"/>
          <w:color w:val="000000"/>
          <w:sz w:val="22"/>
        </w:rPr>
        <w:t>license and redistribution terms;</w:t>
      </w:r>
    </w:p>
    <w:p>
      <w:pPr>
        <w:numPr>
          <w:ilvl w:val="0"/>
          <w:numId w:val="10"/>
        </w:numPr>
        <w:spacing w:before="0" w:after="80" w:line="300" w:lineRule="auto"/>
      </w:pPr>
      <w:r>
        <w:rPr>
          <w:rFonts w:ascii="Calibri" w:hAnsi="Calibri"/>
          <w:color w:val="000000"/>
          <w:sz w:val="22"/>
        </w:rPr>
        <w:t>intended context of use;</w:t>
      </w:r>
    </w:p>
    <w:p>
      <w:pPr>
        <w:numPr>
          <w:ilvl w:val="0"/>
          <w:numId w:val="10"/>
        </w:numPr>
        <w:spacing w:before="0" w:after="80" w:line="300" w:lineRule="auto"/>
      </w:pPr>
      <w:r>
        <w:rPr>
          <w:rFonts w:ascii="Calibri" w:hAnsi="Calibri"/>
          <w:color w:val="000000"/>
          <w:sz w:val="22"/>
        </w:rPr>
        <w:t>required inputs and accepted formats;</w:t>
      </w:r>
    </w:p>
    <w:p>
      <w:pPr>
        <w:numPr>
          <w:ilvl w:val="0"/>
          <w:numId w:val="10"/>
        </w:numPr>
        <w:spacing w:before="0" w:after="80" w:line="300" w:lineRule="auto"/>
      </w:pPr>
      <w:r>
        <w:rPr>
          <w:rFonts w:ascii="Calibri" w:hAnsi="Calibri"/>
          <w:color w:val="000000"/>
          <w:sz w:val="22"/>
        </w:rPr>
        <w:t>preprocessing and quality-control requirements;</w:t>
      </w:r>
    </w:p>
    <w:p>
      <w:pPr>
        <w:numPr>
          <w:ilvl w:val="0"/>
          <w:numId w:val="10"/>
        </w:numPr>
        <w:spacing w:before="0" w:after="80" w:line="300" w:lineRule="auto"/>
      </w:pPr>
      <w:r>
        <w:rPr>
          <w:rFonts w:ascii="Calibri" w:hAnsi="Calibri"/>
          <w:color w:val="000000"/>
          <w:sz w:val="22"/>
        </w:rPr>
        <w:t>output definition and scale direction;</w:t>
      </w:r>
    </w:p>
    <w:p>
      <w:pPr>
        <w:numPr>
          <w:ilvl w:val="0"/>
          <w:numId w:val="10"/>
        </w:numPr>
        <w:spacing w:before="0" w:after="80" w:line="300" w:lineRule="auto"/>
      </w:pPr>
      <w:r>
        <w:rPr>
          <w:rFonts w:ascii="Calibri" w:hAnsi="Calibri"/>
          <w:color w:val="000000"/>
          <w:sz w:val="22"/>
        </w:rPr>
        <w:t>training/development population;</w:t>
      </w:r>
    </w:p>
    <w:p>
      <w:pPr>
        <w:numPr>
          <w:ilvl w:val="0"/>
          <w:numId w:val="10"/>
        </w:numPr>
        <w:spacing w:before="0" w:after="80" w:line="300" w:lineRule="auto"/>
      </w:pPr>
      <w:r>
        <w:rPr>
          <w:rFonts w:ascii="Calibri" w:hAnsi="Calibri"/>
          <w:color w:val="000000"/>
          <w:sz w:val="22"/>
        </w:rPr>
        <w:t>technical, biological, clinical, and external validation evidence;</w:t>
      </w:r>
    </w:p>
    <w:p>
      <w:pPr>
        <w:numPr>
          <w:ilvl w:val="0"/>
          <w:numId w:val="10"/>
        </w:numPr>
        <w:spacing w:before="0" w:after="80" w:line="300" w:lineRule="auto"/>
      </w:pPr>
      <w:r>
        <w:rPr>
          <w:rFonts w:ascii="Calibri" w:hAnsi="Calibri"/>
          <w:color w:val="000000"/>
          <w:sz w:val="22"/>
        </w:rPr>
        <w:t>known failure modes and excluded populations;</w:t>
      </w:r>
    </w:p>
    <w:p>
      <w:pPr>
        <w:numPr>
          <w:ilvl w:val="0"/>
          <w:numId w:val="10"/>
        </w:numPr>
        <w:spacing w:before="0" w:after="80" w:line="300" w:lineRule="auto"/>
      </w:pPr>
      <w:r>
        <w:rPr>
          <w:rFonts w:ascii="Calibri" w:hAnsi="Calibri"/>
          <w:color w:val="000000"/>
          <w:sz w:val="22"/>
        </w:rPr>
        <w:t>compute/runtime/container requirements;</w:t>
      </w:r>
    </w:p>
    <w:p>
      <w:pPr>
        <w:numPr>
          <w:ilvl w:val="0"/>
          <w:numId w:val="10"/>
        </w:numPr>
        <w:spacing w:before="0" w:after="80" w:line="300" w:lineRule="auto"/>
      </w:pPr>
      <w:r>
        <w:rPr>
          <w:rFonts w:ascii="Calibri" w:hAnsi="Calibri"/>
          <w:color w:val="000000"/>
          <w:sz w:val="22"/>
        </w:rPr>
        <w:t>last verified date and maintainer status;</w:t>
      </w:r>
    </w:p>
    <w:p>
      <w:pPr>
        <w:numPr>
          <w:ilvl w:val="0"/>
          <w:numId w:val="10"/>
        </w:numPr>
        <w:spacing w:before="0" w:after="80" w:line="300" w:lineRule="auto"/>
      </w:pPr>
      <w:r>
        <w:rPr>
          <w:rFonts w:ascii="Calibri" w:hAnsi="Calibri"/>
          <w:color w:val="000000"/>
          <w:sz w:val="22"/>
        </w:rPr>
        <w:t>primary citation and independent evaluations.</w:t>
      </w:r>
    </w:p>
    <w:p>
      <w:pPr>
        <w:spacing w:before="0" w:after="120" w:line="300" w:lineRule="auto"/>
      </w:pPr>
      <w:r>
        <w:rPr>
          <w:rFonts w:ascii="Calibri" w:hAnsi="Calibri"/>
          <w:color w:val="000000"/>
          <w:sz w:val="22"/>
        </w:rPr>
        <w:t xml:space="preserve">Use </w:t>
      </w:r>
      <w:r>
        <w:rPr>
          <w:rFonts w:ascii="Menlo" w:hAnsi="Menlo"/>
          <w:color w:val="1F4D78"/>
          <w:sz w:val="21"/>
        </w:rPr>
        <w:t>templates/TOOL_RECORD_TEMPLATE.md</w:t>
      </w:r>
      <w:r>
        <w:rPr>
          <w:rFonts w:ascii="Calibri" w:hAnsi="Calibri"/>
          <w:color w:val="000000"/>
          <w:sz w:val="22"/>
        </w:rPr>
        <w:t xml:space="preserve"> to add new entries.</w:t>
      </w:r>
    </w:p>
    <w:p>
      <w:bookmarkStart w:id="61" w:name="section_052"/>
      <w:pPr>
        <w:pStyle w:val="Heading2"/>
      </w:pPr>
      <w:r>
        <w:t>9. A practical validation ladder</w:t>
      </w:r>
      <w:bookmarkEnd w:id="61"/>
    </w:p>
    <w:p>
      <w:pPr>
        <w:numPr>
          <w:ilvl w:val="0"/>
          <w:numId w:val="17"/>
        </w:numPr>
        <w:spacing w:before="0" w:after="80" w:line="300" w:lineRule="auto"/>
      </w:pPr>
      <w:r>
        <w:rPr>
          <w:rFonts w:ascii="Calibri" w:hAnsi="Calibri"/>
          <w:b/>
          <w:color w:val="000000"/>
          <w:sz w:val="22"/>
        </w:rPr>
        <w:t>Analytical validity:</w:t>
      </w:r>
      <w:r>
        <w:rPr>
          <w:rFonts w:ascii="Calibri" w:hAnsi="Calibri"/>
          <w:color w:val="000000"/>
          <w:sz w:val="22"/>
        </w:rPr>
        <w:t xml:space="preserve"> does the measurement accurately quantify its intended signal on controlled data?</w:t>
      </w:r>
    </w:p>
    <w:p>
      <w:pPr>
        <w:numPr>
          <w:ilvl w:val="0"/>
          <w:numId w:val="17"/>
        </w:numPr>
        <w:spacing w:before="0" w:after="80" w:line="300" w:lineRule="auto"/>
      </w:pPr>
      <w:r>
        <w:rPr>
          <w:rFonts w:ascii="Calibri" w:hAnsi="Calibri"/>
          <w:b/>
          <w:color w:val="000000"/>
          <w:sz w:val="22"/>
        </w:rPr>
        <w:t>Repeatability:</w:t>
      </w:r>
      <w:r>
        <w:rPr>
          <w:rFonts w:ascii="Calibri" w:hAnsi="Calibri"/>
          <w:color w:val="000000"/>
          <w:sz w:val="22"/>
        </w:rPr>
        <w:t xml:space="preserve"> does it agree across raters and repeat scans?</w:t>
      </w:r>
    </w:p>
    <w:p>
      <w:pPr>
        <w:numPr>
          <w:ilvl w:val="0"/>
          <w:numId w:val="17"/>
        </w:numPr>
        <w:spacing w:before="0" w:after="80" w:line="300" w:lineRule="auto"/>
      </w:pPr>
      <w:r>
        <w:rPr>
          <w:rFonts w:ascii="Calibri" w:hAnsi="Calibri"/>
          <w:b/>
          <w:color w:val="000000"/>
          <w:sz w:val="22"/>
        </w:rPr>
        <w:t>Reproducibility:</w:t>
      </w:r>
      <w:r>
        <w:rPr>
          <w:rFonts w:ascii="Calibri" w:hAnsi="Calibri"/>
          <w:color w:val="000000"/>
          <w:sz w:val="22"/>
        </w:rPr>
        <w:t xml:space="preserve"> does it agree across scanners, sites, and implementations?</w:t>
      </w:r>
    </w:p>
    <w:p>
      <w:pPr>
        <w:numPr>
          <w:ilvl w:val="0"/>
          <w:numId w:val="17"/>
        </w:numPr>
        <w:spacing w:before="0" w:after="80" w:line="300" w:lineRule="auto"/>
      </w:pPr>
      <w:r>
        <w:rPr>
          <w:rFonts w:ascii="Calibri" w:hAnsi="Calibri"/>
          <w:b/>
          <w:color w:val="000000"/>
          <w:sz w:val="22"/>
        </w:rPr>
        <w:t>Biological validity:</w:t>
      </w:r>
      <w:r>
        <w:rPr>
          <w:rFonts w:ascii="Calibri" w:hAnsi="Calibri"/>
          <w:color w:val="000000"/>
          <w:sz w:val="22"/>
        </w:rPr>
        <w:t xml:space="preserve"> does it associate with tissue or a credible mechanistic reference?</w:t>
      </w:r>
    </w:p>
    <w:p>
      <w:pPr>
        <w:numPr>
          <w:ilvl w:val="0"/>
          <w:numId w:val="17"/>
        </w:numPr>
        <w:spacing w:before="0" w:after="80" w:line="300" w:lineRule="auto"/>
      </w:pPr>
      <w:r>
        <w:rPr>
          <w:rFonts w:ascii="Calibri" w:hAnsi="Calibri"/>
          <w:b/>
          <w:color w:val="000000"/>
          <w:sz w:val="22"/>
        </w:rPr>
        <w:t>Clinical validity:</w:t>
      </w:r>
      <w:r>
        <w:rPr>
          <w:rFonts w:ascii="Calibri" w:hAnsi="Calibri"/>
          <w:color w:val="000000"/>
          <w:sz w:val="22"/>
        </w:rPr>
        <w:t xml:space="preserve"> does it identify or predict a meaningful clinical state/outcome?</w:t>
      </w:r>
    </w:p>
    <w:p>
      <w:pPr>
        <w:numPr>
          <w:ilvl w:val="0"/>
          <w:numId w:val="17"/>
        </w:numPr>
        <w:spacing w:before="0" w:after="80" w:line="300" w:lineRule="auto"/>
      </w:pPr>
      <w:r>
        <w:rPr>
          <w:rFonts w:ascii="Calibri" w:hAnsi="Calibri"/>
          <w:b/>
          <w:color w:val="000000"/>
          <w:sz w:val="22"/>
        </w:rPr>
        <w:t>Incremental validity:</w:t>
      </w:r>
      <w:r>
        <w:rPr>
          <w:rFonts w:ascii="Calibri" w:hAnsi="Calibri"/>
          <w:color w:val="000000"/>
          <w:sz w:val="22"/>
        </w:rPr>
        <w:t xml:space="preserve"> does it add information beyond age, risk factors, and standard imaging?</w:t>
      </w:r>
    </w:p>
    <w:p>
      <w:pPr>
        <w:numPr>
          <w:ilvl w:val="0"/>
          <w:numId w:val="17"/>
        </w:numPr>
        <w:spacing w:before="0" w:after="80" w:line="300" w:lineRule="auto"/>
      </w:pPr>
      <w:r>
        <w:rPr>
          <w:rFonts w:ascii="Calibri" w:hAnsi="Calibri"/>
          <w:b/>
          <w:color w:val="000000"/>
          <w:sz w:val="22"/>
        </w:rPr>
        <w:t>Transportability and fairness:</w:t>
      </w:r>
      <w:r>
        <w:rPr>
          <w:rFonts w:ascii="Calibri" w:hAnsi="Calibri"/>
          <w:color w:val="000000"/>
          <w:sz w:val="22"/>
        </w:rPr>
        <w:t xml:space="preserve"> does it work in new sites, protocols, ancestries, ages, and comorbidity patterns?</w:t>
      </w:r>
    </w:p>
    <w:p>
      <w:pPr>
        <w:numPr>
          <w:ilvl w:val="0"/>
          <w:numId w:val="17"/>
        </w:numPr>
        <w:spacing w:before="0" w:after="80" w:line="300" w:lineRule="auto"/>
      </w:pPr>
      <w:r>
        <w:rPr>
          <w:rFonts w:ascii="Calibri" w:hAnsi="Calibri"/>
          <w:b/>
          <w:color w:val="000000"/>
          <w:sz w:val="22"/>
        </w:rPr>
        <w:t>Responsiveness:</w:t>
      </w:r>
      <w:r>
        <w:rPr>
          <w:rFonts w:ascii="Calibri" w:hAnsi="Calibri"/>
          <w:color w:val="000000"/>
          <w:sz w:val="22"/>
        </w:rPr>
        <w:t xml:space="preserve"> does it change over time or after an intervention in an interpretable way?</w:t>
      </w:r>
    </w:p>
    <w:p>
      <w:pPr>
        <w:numPr>
          <w:ilvl w:val="0"/>
          <w:numId w:val="17"/>
        </w:numPr>
        <w:spacing w:before="0" w:after="80" w:line="300" w:lineRule="auto"/>
      </w:pPr>
      <w:r>
        <w:rPr>
          <w:rFonts w:ascii="Calibri" w:hAnsi="Calibri"/>
          <w:b/>
          <w:color w:val="000000"/>
          <w:sz w:val="22"/>
        </w:rPr>
        <w:t>Clinical utility:</w:t>
      </w:r>
      <w:r>
        <w:rPr>
          <w:rFonts w:ascii="Calibri" w:hAnsi="Calibri"/>
          <w:color w:val="000000"/>
          <w:sz w:val="22"/>
        </w:rPr>
        <w:t xml:space="preserve"> does using it improve decisions or outcomes?</w:t>
      </w:r>
    </w:p>
    <w:p>
      <w:pPr>
        <w:spacing w:before="0" w:after="120" w:line="300" w:lineRule="auto"/>
      </w:pPr>
      <w:r>
        <w:rPr>
          <w:rFonts w:ascii="Calibri" w:hAnsi="Calibri"/>
          <w:color w:val="000000"/>
          <w:sz w:val="22"/>
        </w:rPr>
        <w:t>Most cSVD biomarkers have not completed the full ladder. That is not failure; it is the research map.</w:t>
      </w:r>
    </w:p>
    <w:p>
      <w:pPr>
        <w:keepNext/>
        <w:spacing w:before="160" w:after="60"/>
        <w:jc w:val="center"/>
      </w:pPr>
      <w:r>
        <w:drawing>
          <wp:inline xmlns:a="http://schemas.openxmlformats.org/drawingml/2006/main" xmlns:pic="http://schemas.openxmlformats.org/drawingml/2006/picture">
            <wp:extent cx="5715000" cy="3214688"/>
            <wp:docPr id="6" name="Picture 6" descr="Four-stage research roadmap from feature discovery through clinical utility." title="Four-stage research roadmap from feature discovery through clinical utility"/>
            <wp:cNvGraphicFramePr>
              <a:graphicFrameLocks noChangeAspect="1"/>
            </wp:cNvGraphicFramePr>
            <a:graphic>
              <a:graphicData uri="http://schemas.openxmlformats.org/drawingml/2006/picture">
                <pic:pic>
                  <pic:nvPicPr>
                    <pic:cNvPr id="0" name="figure_08_research_roadmap.png"/>
                    <pic:cNvPicPr/>
                  </pic:nvPicPr>
                  <pic:blipFill>
                    <a:blip r:embed="rId37"/>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6. </w:t>
      </w:r>
      <w:r>
        <w:rPr>
          <w:rFonts w:ascii="Calibri" w:hAnsi="Calibri"/>
          <w:i/>
          <w:color w:val="5A626C"/>
          <w:sz w:val="19"/>
        </w:rPr>
        <w:t>Four-stage research roadmap from feature discovery through clinical utility.</w:t>
      </w:r>
    </w:p>
    <w:p>
      <w:bookmarkStart w:id="62" w:name="section_053"/>
      <w:pPr>
        <w:pStyle w:val="Heading1"/>
      </w:pPr>
      <w:r>
        <w:t>Debates, Hypotheses, and Open Questions</w:t>
      </w:r>
      <w:bookmarkEnd w:id="62"/>
      <w:r>
        <w:rPr>
          <w:rFonts w:ascii="Calibri" w:hAnsi="Calibri"/>
          <w:color w:val="000000"/>
          <w:sz w:val="16"/>
        </w:rPr>
        <w:t xml:space="preserve">   </w:t>
      </w:r>
      <w:hyperlink w:anchor="Contents">
        <w:r>
          <w:rPr>
            <w:color w:val="2E74B5"/>
            <w:u w:val="single"/>
            <w:sz w:val="16"/>
          </w:rPr>
          <w:t>Back to contents</w:t>
        </w:r>
      </w:hyperlink>
    </w:p>
    <w:p>
      <w:bookmarkStart w:id="63" w:name="section_054"/>
      <w:pPr>
        <w:pStyle w:val="Heading2"/>
      </w:pPr>
      <w:r>
        <w:t>How to read this chapter</w:t>
      </w:r>
      <w:bookmarkEnd w:id="63"/>
    </w:p>
    <w:p>
      <w:pPr>
        <w:spacing w:before="0" w:after="120" w:line="300" w:lineRule="auto"/>
      </w:pPr>
      <w:r>
        <w:rPr>
          <w:rFonts w:ascii="Calibri" w:hAnsi="Calibri"/>
          <w:color w:val="000000"/>
          <w:sz w:val="22"/>
        </w:rPr>
        <w:t>Each section distinguishes the hypothesis, observations that support it, observations that constrain it, and a study that could discriminate among explanations. "Evidence against" often means evidence against a simple or universal version, not proof that the whole mechanism is false.</w:t>
      </w:r>
    </w:p>
    <w:p>
      <w:bookmarkStart w:id="64" w:name="section_055"/>
      <w:pPr>
        <w:pStyle w:val="Heading2"/>
      </w:pPr>
      <w:r>
        <w:t>1. Is CAA fundamentally a perivascular clearance disease?</w:t>
      </w:r>
      <w:bookmarkEnd w:id="64"/>
    </w:p>
    <w:p>
      <w:pPr>
        <w:keepNext/>
        <w:spacing w:before="160" w:after="80"/>
      </w:pPr>
      <w:r>
        <w:rPr>
          <w:rFonts w:ascii="Calibri" w:hAnsi="Calibri"/>
          <w:b/>
          <w:color w:val="1F4D78"/>
          <w:sz w:val="22"/>
        </w:rPr>
        <w:t>Hypothesis</w:t>
      </w:r>
    </w:p>
    <w:p>
      <w:pPr>
        <w:spacing w:before="0" w:after="120" w:line="300" w:lineRule="auto"/>
      </w:pPr>
      <w:r>
        <w:rPr>
          <w:rFonts w:ascii="Calibri" w:hAnsi="Calibri"/>
          <w:color w:val="000000"/>
          <w:sz w:val="22"/>
        </w:rPr>
        <w:t>Soluble Aβ normally exits brain along perivascular pathways. Aging or vascular dysfunction reduces clearance; Aβ accumulates in vessel walls; deposition further impairs drainage, producing a feed-forward loop.</w:t>
      </w:r>
    </w:p>
    <w:p>
      <w:pPr>
        <w:keepNext/>
        <w:spacing w:before="160" w:after="80"/>
      </w:pPr>
      <w:r>
        <w:rPr>
          <w:rFonts w:ascii="Calibri" w:hAnsi="Calibri"/>
          <w:b/>
          <w:color w:val="1F4D78"/>
          <w:sz w:val="22"/>
        </w:rPr>
        <w:t>Supporting observations</w:t>
      </w:r>
    </w:p>
    <w:p>
      <w:pPr>
        <w:numPr>
          <w:ilvl w:val="0"/>
          <w:numId w:val="10"/>
        </w:numPr>
        <w:spacing w:before="0" w:after="80" w:line="300" w:lineRule="auto"/>
      </w:pPr>
      <w:r>
        <w:rPr>
          <w:rFonts w:ascii="Calibri" w:hAnsi="Calibri"/>
          <w:color w:val="000000"/>
          <w:sz w:val="22"/>
        </w:rPr>
        <w:t>Vascular deposition follows compartments plausibly involved in interstitial-fluid drainage.</w:t>
      </w:r>
    </w:p>
    <w:p>
      <w:pPr>
        <w:numPr>
          <w:ilvl w:val="0"/>
          <w:numId w:val="10"/>
        </w:numPr>
        <w:spacing w:before="0" w:after="80" w:line="300" w:lineRule="auto"/>
      </w:pPr>
      <w:r>
        <w:rPr>
          <w:rFonts w:ascii="Calibri" w:hAnsi="Calibri"/>
          <w:color w:val="000000"/>
          <w:sz w:val="22"/>
        </w:rPr>
        <w:t>Experimental tracer work demonstrates periarterial/perivascular movement.</w:t>
      </w:r>
    </w:p>
    <w:p>
      <w:pPr>
        <w:numPr>
          <w:ilvl w:val="0"/>
          <w:numId w:val="10"/>
        </w:numPr>
        <w:spacing w:before="0" w:after="80" w:line="300" w:lineRule="auto"/>
      </w:pPr>
      <w:r>
        <w:rPr>
          <w:rFonts w:ascii="Calibri" w:hAnsi="Calibri"/>
          <w:color w:val="000000"/>
          <w:sz w:val="22"/>
        </w:rPr>
        <w:t>Severe centrum semiovale PVS are associated with CAA in imaging cohorts and contribute to Boston v2.0.</w:t>
      </w:r>
    </w:p>
    <w:p>
      <w:pPr>
        <w:numPr>
          <w:ilvl w:val="0"/>
          <w:numId w:val="10"/>
        </w:numPr>
        <w:spacing w:before="0" w:after="80" w:line="300" w:lineRule="auto"/>
      </w:pPr>
      <w:r>
        <w:rPr>
          <w:rFonts w:ascii="Calibri" w:hAnsi="Calibri"/>
          <w:color w:val="000000"/>
          <w:sz w:val="22"/>
        </w:rPr>
        <w:t>Perosa et al. spatially linked dilated white-matter PVS to Aβ accumulation and smooth-muscle loss in overlying cortical vessels.</w:t>
      </w:r>
    </w:p>
    <w:p>
      <w:pPr>
        <w:numPr>
          <w:ilvl w:val="0"/>
          <w:numId w:val="10"/>
        </w:numPr>
        <w:spacing w:before="0" w:after="80" w:line="300" w:lineRule="auto"/>
      </w:pPr>
      <w:r>
        <w:rPr>
          <w:rFonts w:ascii="Calibri" w:hAnsi="Calibri"/>
          <w:color w:val="000000"/>
          <w:sz w:val="22"/>
        </w:rPr>
        <w:t>Hereditary CAA data suggest molecular/physiologic abnormalities long before hemorrhage.</w:t>
      </w:r>
    </w:p>
    <w:p>
      <w:pPr>
        <w:keepNext/>
        <w:spacing w:before="160" w:after="80"/>
      </w:pPr>
      <w:r>
        <w:rPr>
          <w:rFonts w:ascii="Calibri" w:hAnsi="Calibri"/>
          <w:b/>
          <w:color w:val="1F4D78"/>
          <w:sz w:val="22"/>
        </w:rPr>
        <w:t>Constraints and alternatives</w:t>
      </w:r>
    </w:p>
    <w:p>
      <w:pPr>
        <w:numPr>
          <w:ilvl w:val="0"/>
          <w:numId w:val="10"/>
        </w:numPr>
        <w:spacing w:before="0" w:after="80" w:line="300" w:lineRule="auto"/>
      </w:pPr>
      <w:r>
        <w:rPr>
          <w:rFonts w:ascii="Calibri" w:hAnsi="Calibri"/>
          <w:color w:val="000000"/>
          <w:sz w:val="22"/>
        </w:rPr>
        <w:t>MRI-visible PVS are a structural endpoint and do not measure flow direction or Aβ flux.</w:t>
      </w:r>
    </w:p>
    <w:p>
      <w:pPr>
        <w:numPr>
          <w:ilvl w:val="0"/>
          <w:numId w:val="10"/>
        </w:numPr>
        <w:spacing w:before="0" w:after="80" w:line="300" w:lineRule="auto"/>
      </w:pPr>
      <w:r>
        <w:rPr>
          <w:rFonts w:ascii="Calibri" w:hAnsi="Calibri"/>
          <w:color w:val="000000"/>
          <w:sz w:val="22"/>
        </w:rPr>
        <w:t>PVS enlargement may be caused by amyloid, atrophy, inflammation, or shared aging processes.</w:t>
      </w:r>
    </w:p>
    <w:p>
      <w:pPr>
        <w:numPr>
          <w:ilvl w:val="0"/>
          <w:numId w:val="10"/>
        </w:numPr>
        <w:spacing w:before="0" w:after="80" w:line="300" w:lineRule="auto"/>
      </w:pPr>
      <w:r>
        <w:rPr>
          <w:rFonts w:ascii="Calibri" w:hAnsi="Calibri"/>
          <w:color w:val="000000"/>
          <w:sz w:val="22"/>
        </w:rPr>
        <w:t>IPAD and glymphatic models differ in routes and driving forces; the field sometimes combines them too loosely.</w:t>
      </w:r>
    </w:p>
    <w:p>
      <w:pPr>
        <w:numPr>
          <w:ilvl w:val="0"/>
          <w:numId w:val="10"/>
        </w:numPr>
        <w:spacing w:before="0" w:after="80" w:line="300" w:lineRule="auto"/>
      </w:pPr>
      <w:r>
        <w:rPr>
          <w:rFonts w:ascii="Calibri" w:hAnsi="Calibri"/>
          <w:color w:val="000000"/>
          <w:sz w:val="22"/>
        </w:rPr>
        <w:t>Anesthesia, sleep, posture, arterial pulsation, and species strongly affect experimental flow.</w:t>
      </w:r>
    </w:p>
    <w:p>
      <w:pPr>
        <w:numPr>
          <w:ilvl w:val="0"/>
          <w:numId w:val="10"/>
        </w:numPr>
        <w:spacing w:before="0" w:after="80" w:line="300" w:lineRule="auto"/>
      </w:pPr>
      <w:r>
        <w:rPr>
          <w:rFonts w:ascii="Calibri" w:hAnsi="Calibri"/>
          <w:color w:val="000000"/>
          <w:sz w:val="22"/>
        </w:rPr>
        <w:t>Parenchymal and vascular amyloid can share production and clearance factors without one route being dominant.</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A longitudinal human study in presymptomatic hereditary CAA combining dynamic molecular tracer methods, quantitative PVS morphology, vascular reactivity, CSF/plasma Aβ kinetics, arterial pulsatility, sleep/posture measures, and repeated MRI, with preregistered temporal predictions. A mechanistic model should predict which variable changes first and where.</w:t>
      </w:r>
    </w:p>
    <w:p>
      <w:bookmarkStart w:id="65" w:name="section_056"/>
      <w:pPr>
        <w:pStyle w:val="Heading2"/>
      </w:pPr>
      <w:r>
        <w:t>2. Does vascular dysfunction precede visible tissue injury?</w:t>
      </w:r>
      <w:bookmarkEnd w:id="65"/>
    </w:p>
    <w:p>
      <w:pPr>
        <w:keepNext/>
        <w:spacing w:before="160" w:after="80"/>
      </w:pPr>
      <w:r>
        <w:rPr>
          <w:rFonts w:ascii="Calibri" w:hAnsi="Calibri"/>
          <w:b/>
          <w:color w:val="1F4D78"/>
          <w:sz w:val="22"/>
        </w:rPr>
        <w:t>Hypothesis</w:t>
      </w:r>
    </w:p>
    <w:p>
      <w:pPr>
        <w:spacing w:before="0" w:after="120" w:line="300" w:lineRule="auto"/>
      </w:pPr>
      <w:r>
        <w:rPr>
          <w:rFonts w:ascii="Calibri" w:hAnsi="Calibri"/>
          <w:color w:val="000000"/>
          <w:sz w:val="22"/>
        </w:rPr>
        <w:t>Impaired cerebrovascular reactivity, autoregulation, BBB function, and microvascular flow occur before WMH, microinfarcts, or hemorrhage and define a treatable stage.</w:t>
      </w:r>
    </w:p>
    <w:p>
      <w:pPr>
        <w:keepNext/>
        <w:spacing w:before="160" w:after="80"/>
      </w:pPr>
      <w:r>
        <w:rPr>
          <w:rFonts w:ascii="Calibri" w:hAnsi="Calibri"/>
          <w:b/>
          <w:color w:val="1F4D78"/>
          <w:sz w:val="22"/>
        </w:rPr>
        <w:t>Supporting observations</w:t>
      </w:r>
    </w:p>
    <w:p>
      <w:pPr>
        <w:numPr>
          <w:ilvl w:val="0"/>
          <w:numId w:val="10"/>
        </w:numPr>
        <w:spacing w:before="0" w:after="80" w:line="300" w:lineRule="auto"/>
      </w:pPr>
      <w:r>
        <w:rPr>
          <w:rFonts w:ascii="Calibri" w:hAnsi="Calibri"/>
          <w:color w:val="000000"/>
          <w:sz w:val="22"/>
        </w:rPr>
        <w:t>Dutch-type CAA studies support early reactivity abnormalities.</w:t>
      </w:r>
    </w:p>
    <w:p>
      <w:pPr>
        <w:numPr>
          <w:ilvl w:val="0"/>
          <w:numId w:val="10"/>
        </w:numPr>
        <w:spacing w:before="0" w:after="80" w:line="300" w:lineRule="auto"/>
      </w:pPr>
      <w:r>
        <w:rPr>
          <w:rFonts w:ascii="Calibri" w:hAnsi="Calibri"/>
          <w:color w:val="000000"/>
          <w:sz w:val="22"/>
        </w:rPr>
        <w:t>The Koemans framework orders physiologic dysfunction before non-hemorrhagic and hemorrhagic injury.</w:t>
      </w:r>
    </w:p>
    <w:p>
      <w:pPr>
        <w:numPr>
          <w:ilvl w:val="0"/>
          <w:numId w:val="10"/>
        </w:numPr>
        <w:spacing w:before="0" w:after="80" w:line="300" w:lineRule="auto"/>
      </w:pPr>
      <w:r>
        <w:rPr>
          <w:rFonts w:ascii="Calibri" w:hAnsi="Calibri"/>
          <w:color w:val="000000"/>
          <w:sz w:val="22"/>
        </w:rPr>
        <w:t>Diffusion and network measures often correlate with cognition beyond visible lesion counts.</w:t>
      </w:r>
    </w:p>
    <w:p>
      <w:pPr>
        <w:keepNext/>
        <w:spacing w:before="160" w:after="80"/>
      </w:pPr>
      <w:r>
        <w:rPr>
          <w:rFonts w:ascii="Calibri" w:hAnsi="Calibri"/>
          <w:b/>
          <w:color w:val="1F4D78"/>
          <w:sz w:val="22"/>
        </w:rPr>
        <w:t>Constraints</w:t>
      </w:r>
    </w:p>
    <w:p>
      <w:pPr>
        <w:numPr>
          <w:ilvl w:val="0"/>
          <w:numId w:val="10"/>
        </w:numPr>
        <w:spacing w:before="0" w:after="80" w:line="300" w:lineRule="auto"/>
      </w:pPr>
      <w:r>
        <w:rPr>
          <w:rFonts w:ascii="Calibri" w:hAnsi="Calibri"/>
          <w:color w:val="000000"/>
          <w:sz w:val="22"/>
        </w:rPr>
        <w:t>Most sporadic studies are cross-sectional.</w:t>
      </w:r>
    </w:p>
    <w:p>
      <w:pPr>
        <w:numPr>
          <w:ilvl w:val="0"/>
          <w:numId w:val="10"/>
        </w:numPr>
        <w:spacing w:before="0" w:after="80" w:line="300" w:lineRule="auto"/>
      </w:pPr>
      <w:r>
        <w:rPr>
          <w:rFonts w:ascii="Calibri" w:hAnsi="Calibri"/>
          <w:color w:val="000000"/>
          <w:sz w:val="22"/>
        </w:rPr>
        <w:t>Vascular reactivity depends on baseline CO2, medications, hematocrit, neural activation, vascular anatomy, and analysis.</w:t>
      </w:r>
    </w:p>
    <w:p>
      <w:pPr>
        <w:numPr>
          <w:ilvl w:val="0"/>
          <w:numId w:val="10"/>
        </w:numPr>
        <w:spacing w:before="0" w:after="80" w:line="300" w:lineRule="auto"/>
      </w:pPr>
      <w:r>
        <w:rPr>
          <w:rFonts w:ascii="Calibri" w:hAnsi="Calibri"/>
          <w:color w:val="000000"/>
          <w:sz w:val="22"/>
        </w:rPr>
        <w:t>Tissue injury can itself impair measured reactivity, creating reverse causation.</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Repeated physiology and tissue-imaging measurements in initially lesion-free, high-risk participants, analyzed with within-person change and negative-control regions. Demonstrate that physiologic change predicts subsequent spatially matched injury after controlling for baseline occult damage.</w:t>
      </w:r>
    </w:p>
    <w:p>
      <w:bookmarkStart w:id="66" w:name="section_057"/>
      <w:pPr>
        <w:pStyle w:val="Heading2"/>
      </w:pPr>
      <w:r>
        <w:t>3. Is BBB leakage a cause, consequence, or amplifier?</w:t>
      </w:r>
      <w:bookmarkEnd w:id="66"/>
    </w:p>
    <w:p>
      <w:pPr>
        <w:keepNext/>
        <w:spacing w:before="160" w:after="80"/>
      </w:pPr>
      <w:r>
        <w:rPr>
          <w:rFonts w:ascii="Calibri" w:hAnsi="Calibri"/>
          <w:b/>
          <w:color w:val="1F4D78"/>
          <w:sz w:val="22"/>
        </w:rPr>
        <w:t>Hypotheses</w:t>
      </w:r>
    </w:p>
    <w:p>
      <w:pPr>
        <w:numPr>
          <w:ilvl w:val="0"/>
          <w:numId w:val="18"/>
        </w:numPr>
        <w:spacing w:before="0" w:after="80" w:line="300" w:lineRule="auto"/>
      </w:pPr>
      <w:r>
        <w:rPr>
          <w:rFonts w:ascii="Calibri" w:hAnsi="Calibri"/>
          <w:color w:val="000000"/>
          <w:sz w:val="22"/>
        </w:rPr>
        <w:t>Barrier failure is an early upstream lesion allowing plasma proteins, inflammation, and edema to damage tissue.</w:t>
      </w:r>
    </w:p>
    <w:p>
      <w:pPr>
        <w:numPr>
          <w:ilvl w:val="0"/>
          <w:numId w:val="18"/>
        </w:numPr>
        <w:spacing w:before="0" w:after="80" w:line="300" w:lineRule="auto"/>
      </w:pPr>
      <w:r>
        <w:rPr>
          <w:rFonts w:ascii="Calibri" w:hAnsi="Calibri"/>
          <w:color w:val="000000"/>
          <w:sz w:val="22"/>
        </w:rPr>
        <w:t>Barrier leakage occurs after vessel-wall injury and is mainly a marker.</w:t>
      </w:r>
    </w:p>
    <w:p>
      <w:pPr>
        <w:numPr>
          <w:ilvl w:val="0"/>
          <w:numId w:val="18"/>
        </w:numPr>
        <w:spacing w:before="0" w:after="80" w:line="300" w:lineRule="auto"/>
      </w:pPr>
      <w:r>
        <w:rPr>
          <w:rFonts w:ascii="Calibri" w:hAnsi="Calibri"/>
          <w:color w:val="000000"/>
          <w:sz w:val="22"/>
        </w:rPr>
        <w:t>Both are correct in subtype- and stage-dependent feedback loops.</w:t>
      </w:r>
    </w:p>
    <w:p>
      <w:pPr>
        <w:keepNext/>
        <w:spacing w:before="160" w:after="80"/>
      </w:pPr>
      <w:r>
        <w:rPr>
          <w:rFonts w:ascii="Calibri" w:hAnsi="Calibri"/>
          <w:b/>
          <w:color w:val="1F4D78"/>
          <w:sz w:val="22"/>
        </w:rPr>
        <w:t>Evidence</w:t>
      </w:r>
    </w:p>
    <w:p>
      <w:pPr>
        <w:spacing w:before="0" w:after="120" w:line="300" w:lineRule="auto"/>
      </w:pPr>
      <w:r>
        <w:rPr>
          <w:rFonts w:ascii="Calibri" w:hAnsi="Calibri"/>
          <w:color w:val="000000"/>
          <w:sz w:val="22"/>
        </w:rPr>
        <w:t>Kozberg et al. observed leakage and smooth-muscle loss in mildly amyloid-affected vessels and leakage in remodeled vessels, while later vessel stages showed more perivascular inflammation. This spatial pathology supports a staged model but comes from a small autopsy series and cannot establish within-person temporal sequence.</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Register in vivo dynamic contrast-enhanced MRI and fluid markers to ex vivo whole-hemisphere MRI and serial histology. Sample vessels across regions prospectively, not only visible lesions, and quantify amyloid, junction proteins, fibrinogen, smooth muscle, matrix remodeling, immune cells, and microhemorrhage.</w:t>
      </w:r>
    </w:p>
    <w:p>
      <w:bookmarkStart w:id="67" w:name="section_058"/>
      <w:pPr>
        <w:pStyle w:val="Heading2"/>
      </w:pPr>
      <w:r>
        <w:t>4. Why can a ruptured CAA vessel contain little amyloid at the rupture site?</w:t>
      </w:r>
      <w:bookmarkEnd w:id="67"/>
    </w:p>
    <w:p>
      <w:pPr>
        <w:keepNext/>
        <w:spacing w:before="160" w:after="80"/>
      </w:pPr>
      <w:r>
        <w:rPr>
          <w:rFonts w:ascii="Calibri" w:hAnsi="Calibri"/>
          <w:b/>
          <w:color w:val="1F4D78"/>
          <w:sz w:val="22"/>
        </w:rPr>
        <w:t>Competing explanations</w:t>
      </w:r>
    </w:p>
    <w:p>
      <w:pPr>
        <w:numPr>
          <w:ilvl w:val="0"/>
          <w:numId w:val="10"/>
        </w:numPr>
        <w:spacing w:before="0" w:after="80" w:line="300" w:lineRule="auto"/>
      </w:pPr>
      <w:r>
        <w:rPr>
          <w:rFonts w:ascii="Calibri" w:hAnsi="Calibri"/>
          <w:color w:val="000000"/>
          <w:sz w:val="22"/>
        </w:rPr>
        <w:t>local immune or proteolytic removal of Aβ precedes rupture but leaves a weakened wall;</w:t>
      </w:r>
    </w:p>
    <w:p>
      <w:pPr>
        <w:numPr>
          <w:ilvl w:val="0"/>
          <w:numId w:val="10"/>
        </w:numPr>
        <w:spacing w:before="0" w:after="80" w:line="300" w:lineRule="auto"/>
      </w:pPr>
      <w:r>
        <w:rPr>
          <w:rFonts w:ascii="Calibri" w:hAnsi="Calibri"/>
          <w:color w:val="000000"/>
          <w:sz w:val="22"/>
        </w:rPr>
        <w:t>fibrinoid remodeling physically replaces the amyloid-bearing segment;</w:t>
      </w:r>
    </w:p>
    <w:p>
      <w:pPr>
        <w:numPr>
          <w:ilvl w:val="0"/>
          <w:numId w:val="10"/>
        </w:numPr>
        <w:spacing w:before="0" w:after="80" w:line="300" w:lineRule="auto"/>
      </w:pPr>
      <w:r>
        <w:rPr>
          <w:rFonts w:ascii="Calibri" w:hAnsi="Calibri"/>
          <w:color w:val="000000"/>
          <w:sz w:val="22"/>
        </w:rPr>
        <w:t>the apparent depletion is a sampling/sectioning problem;</w:t>
      </w:r>
    </w:p>
    <w:p>
      <w:pPr>
        <w:numPr>
          <w:ilvl w:val="0"/>
          <w:numId w:val="10"/>
        </w:numPr>
        <w:spacing w:before="0" w:after="80" w:line="300" w:lineRule="auto"/>
      </w:pPr>
      <w:r>
        <w:rPr>
          <w:rFonts w:ascii="Calibri" w:hAnsi="Calibri"/>
          <w:color w:val="000000"/>
          <w:sz w:val="22"/>
        </w:rPr>
        <w:t>hemorrhage destroys or displaces antigen;</w:t>
      </w:r>
    </w:p>
    <w:p>
      <w:pPr>
        <w:numPr>
          <w:ilvl w:val="0"/>
          <w:numId w:val="10"/>
        </w:numPr>
        <w:spacing w:before="0" w:after="80" w:line="300" w:lineRule="auto"/>
      </w:pPr>
      <w:r>
        <w:rPr>
          <w:rFonts w:ascii="Calibri" w:hAnsi="Calibri"/>
          <w:color w:val="000000"/>
          <w:sz w:val="22"/>
        </w:rPr>
        <w:t>adjacent rather than directly sampled vessel segments contain the causal amyloid;</w:t>
      </w:r>
    </w:p>
    <w:p>
      <w:pPr>
        <w:numPr>
          <w:ilvl w:val="0"/>
          <w:numId w:val="10"/>
        </w:numPr>
        <w:spacing w:before="0" w:after="80" w:line="300" w:lineRule="auto"/>
      </w:pPr>
      <w:r>
        <w:rPr>
          <w:rFonts w:ascii="Calibri" w:hAnsi="Calibri"/>
          <w:color w:val="000000"/>
          <w:sz w:val="22"/>
        </w:rPr>
        <w:t>some lobar microbleeds have a non-CAA cause.</w:t>
      </w:r>
    </w:p>
    <w:p>
      <w:pPr>
        <w:keepNext/>
        <w:spacing w:before="160" w:after="80"/>
      </w:pPr>
      <w:r>
        <w:rPr>
          <w:rFonts w:ascii="Calibri" w:hAnsi="Calibri"/>
          <w:b/>
          <w:color w:val="1F4D78"/>
          <w:sz w:val="22"/>
        </w:rPr>
        <w:t>What would decide the issue</w:t>
      </w:r>
    </w:p>
    <w:p>
      <w:pPr>
        <w:spacing w:before="0" w:after="120" w:line="300" w:lineRule="auto"/>
      </w:pPr>
      <w:r>
        <w:rPr>
          <w:rFonts w:ascii="Calibri" w:hAnsi="Calibri"/>
          <w:color w:val="000000"/>
          <w:sz w:val="22"/>
        </w:rPr>
        <w:t>Three-dimensional serial reconstruction of entire culprit vessels, with spatially resolved Aβ species, smooth muscle, collagen/basement membrane, fibrin, iron, complement, proteases, and immune cells, compared with nonruptured vessels from the same brain and arteriolosclerosis controls.</w:t>
      </w:r>
    </w:p>
    <w:p>
      <w:bookmarkStart w:id="68" w:name="section_059"/>
      <w:pPr>
        <w:pStyle w:val="Heading2"/>
      </w:pPr>
      <w:r>
        <w:t>5. Are strictly lobar microbleeds specific to CAA?</w:t>
      </w:r>
      <w:bookmarkEnd w:id="68"/>
    </w:p>
    <w:p>
      <w:pPr>
        <w:keepNext/>
        <w:spacing w:before="160" w:after="80"/>
      </w:pPr>
      <w:r>
        <w:rPr>
          <w:rFonts w:ascii="Calibri" w:hAnsi="Calibri"/>
          <w:b/>
          <w:color w:val="1F4D78"/>
          <w:sz w:val="22"/>
        </w:rPr>
        <w:t>Conventional model</w:t>
      </w:r>
    </w:p>
    <w:p>
      <w:pPr>
        <w:spacing w:before="0" w:after="120" w:line="300" w:lineRule="auto"/>
      </w:pPr>
      <w:r>
        <w:rPr>
          <w:rFonts w:ascii="Calibri" w:hAnsi="Calibri"/>
          <w:color w:val="000000"/>
          <w:sz w:val="22"/>
        </w:rPr>
        <w:t>Strictly lobar distribution strongly favors CAA; deep distribution favors arteriolosclerosis. This is diagnostically useful and underlies Boston criteria.</w:t>
      </w:r>
    </w:p>
    <w:p>
      <w:pPr>
        <w:keepNext/>
        <w:spacing w:before="160" w:after="80"/>
      </w:pPr>
      <w:r>
        <w:rPr>
          <w:rFonts w:ascii="Calibri" w:hAnsi="Calibri"/>
          <w:b/>
          <w:color w:val="1F4D78"/>
          <w:sz w:val="22"/>
        </w:rPr>
        <w:t>Challenge</w:t>
      </w:r>
    </w:p>
    <w:p>
      <w:pPr>
        <w:spacing w:before="0" w:after="120" w:line="300" w:lineRule="auto"/>
      </w:pPr>
      <w:r>
        <w:rPr>
          <w:rFonts w:ascii="Calibri" w:hAnsi="Calibri"/>
          <w:color w:val="000000"/>
          <w:sz w:val="22"/>
        </w:rPr>
        <w:t>Perosa et al. found true lobar CMBs caused by arteriolosclerosis in three pathology-negative, clinically false-positive CAA cases. Lesions tended toward juxtacortical/subcortical white matter rather than cortical ribbon.</w:t>
      </w:r>
    </w:p>
    <w:p>
      <w:pPr>
        <w:keepNext/>
        <w:spacing w:before="160" w:after="80"/>
      </w:pPr>
      <w:r>
        <w:rPr>
          <w:rFonts w:ascii="Calibri" w:hAnsi="Calibri"/>
          <w:b/>
          <w:color w:val="1F4D78"/>
          <w:sz w:val="22"/>
        </w:rPr>
        <w:t>Balanced conclusion</w:t>
      </w:r>
    </w:p>
    <w:p>
      <w:pPr>
        <w:spacing w:before="0" w:after="120" w:line="300" w:lineRule="auto"/>
      </w:pPr>
      <w:r>
        <w:rPr>
          <w:rFonts w:ascii="Calibri" w:hAnsi="Calibri"/>
          <w:color w:val="000000"/>
          <w:sz w:val="22"/>
        </w:rPr>
        <w:t>Anatomic distribution is a high-value probabilistic biomarker, not a deterministic lesion label. Patient-level diagnostic specificity can be high even when lesion-level specificity is imperfect. Higher-resolution localization relative to cortical ribbon and penetrating-vessel anatomy may improve etiologic inference.</w:t>
      </w:r>
    </w:p>
    <w:p>
      <w:pPr>
        <w:keepNext/>
        <w:spacing w:before="160" w:after="80"/>
      </w:pPr>
      <w:r>
        <w:rPr>
          <w:rFonts w:ascii="Calibri" w:hAnsi="Calibri"/>
          <w:b/>
          <w:color w:val="1F4D78"/>
          <w:sz w:val="22"/>
        </w:rPr>
        <w:t>Needed evidence</w:t>
      </w:r>
    </w:p>
    <w:p>
      <w:pPr>
        <w:spacing w:before="0" w:after="120" w:line="300" w:lineRule="auto"/>
      </w:pPr>
      <w:r>
        <w:rPr>
          <w:rFonts w:ascii="Calibri" w:hAnsi="Calibri"/>
          <w:color w:val="000000"/>
          <w:sz w:val="22"/>
        </w:rPr>
        <w:t>Large prospective MRI-autopsy datasets with lesion-by-lesion coregistration, standardized SWI/QSM, whole-vessel serial histology, and controls spanning mixed CAA/B-ASC. Report both patient-level and lesion-level accuracy.</w:t>
      </w:r>
    </w:p>
    <w:p>
      <w:bookmarkStart w:id="69" w:name="section_060"/>
      <w:pPr>
        <w:pStyle w:val="Heading2"/>
      </w:pPr>
      <w:r>
        <w:t>6. Can WMH patterns distinguish CAA from arteriolosclerosis?</w:t>
      </w:r>
      <w:bookmarkEnd w:id="69"/>
    </w:p>
    <w:p>
      <w:pPr>
        <w:keepNext/>
        <w:spacing w:before="160" w:after="80"/>
      </w:pPr>
      <w:r>
        <w:rPr>
          <w:rFonts w:ascii="Calibri" w:hAnsi="Calibri"/>
          <w:b/>
          <w:color w:val="1F4D78"/>
          <w:sz w:val="22"/>
        </w:rPr>
        <w:t>Proposed pattern</w:t>
      </w:r>
    </w:p>
    <w:p>
      <w:pPr>
        <w:spacing w:before="0" w:after="120" w:line="300" w:lineRule="auto"/>
      </w:pPr>
      <w:r>
        <w:rPr>
          <w:rFonts w:ascii="Calibri" w:hAnsi="Calibri"/>
          <w:color w:val="000000"/>
          <w:sz w:val="22"/>
        </w:rPr>
        <w:t>Posterior-predominant or multispot subcortical WMH may support CAA; confluent periventricular/deep WMH and deep lesions may support non-amyloid arteriopathy.</w:t>
      </w:r>
    </w:p>
    <w:p>
      <w:pPr>
        <w:keepNext/>
        <w:spacing w:before="160" w:after="80"/>
      </w:pPr>
      <w:r>
        <w:rPr>
          <w:rFonts w:ascii="Calibri" w:hAnsi="Calibri"/>
          <w:b/>
          <w:color w:val="1F4D78"/>
          <w:sz w:val="22"/>
        </w:rPr>
        <w:t>Problem</w:t>
      </w:r>
    </w:p>
    <w:p>
      <w:pPr>
        <w:spacing w:before="0" w:after="120" w:line="300" w:lineRule="auto"/>
      </w:pPr>
      <w:r>
        <w:rPr>
          <w:rFonts w:ascii="Calibri" w:hAnsi="Calibri"/>
          <w:color w:val="000000"/>
          <w:sz w:val="22"/>
        </w:rPr>
        <w:t>WMH are a final common pathway of edema, demyelination, axonal loss, rarefaction, gliosis, and incomplete infarction. Age, blood pressure, AD, CAA, B-ASC, venous disease, and technical segmentation all influence them.</w:t>
      </w:r>
    </w:p>
    <w:p>
      <w:pPr>
        <w:spacing w:before="0" w:after="120" w:line="300" w:lineRule="auto"/>
      </w:pPr>
      <w:r>
        <w:rPr>
          <w:rFonts w:ascii="Calibri" w:hAnsi="Calibri"/>
          <w:color w:val="000000"/>
          <w:sz w:val="22"/>
        </w:rPr>
        <w:t>The multispot pattern contributes to Boston v2.0 in combination with a lobar hemorrhagic lesion, but added diagnostic performance was smaller than that of severe CSO-PVS in the derivation work. A 2025 pilot linked multispot count to amyloid PET burden in 21 participants; the small sample and parenchymal/vascular PET ambiguity require caution.</w:t>
      </w:r>
    </w:p>
    <w:p>
      <w:pPr>
        <w:keepNext/>
        <w:spacing w:before="160" w:after="80"/>
      </w:pPr>
      <w:r>
        <w:rPr>
          <w:rFonts w:ascii="Calibri" w:hAnsi="Calibri"/>
          <w:b/>
          <w:color w:val="1F4D78"/>
          <w:sz w:val="22"/>
        </w:rPr>
        <w:t>Research direction</w:t>
      </w:r>
    </w:p>
    <w:p>
      <w:pPr>
        <w:spacing w:before="0" w:after="120" w:line="300" w:lineRule="auto"/>
      </w:pPr>
      <w:r>
        <w:rPr>
          <w:rFonts w:ascii="Calibri" w:hAnsi="Calibri"/>
          <w:color w:val="000000"/>
          <w:sz w:val="22"/>
        </w:rPr>
        <w:t>Move from a single pattern label to spatially explicit lesion morphology, rim/perfusion/permeability/diffusion features, vascular territories, and pathology-linked training. Validate against both CAA and B-ASC severity rather than against clinical labels alone.</w:t>
      </w:r>
    </w:p>
    <w:p>
      <w:bookmarkStart w:id="70" w:name="section_061"/>
      <w:pPr>
        <w:pStyle w:val="Heading2"/>
      </w:pPr>
      <w:r>
        <w:t>7. Are enlarged PVS a clearance biomarker, severity marker, or epiphenomenon?</w:t>
      </w:r>
      <w:bookmarkEnd w:id="70"/>
    </w:p>
    <w:p>
      <w:pPr>
        <w:keepNext/>
        <w:spacing w:before="160" w:after="80"/>
      </w:pPr>
      <w:r>
        <w:rPr>
          <w:rFonts w:ascii="Calibri" w:hAnsi="Calibri"/>
          <w:b/>
          <w:color w:val="1F4D78"/>
          <w:sz w:val="22"/>
        </w:rPr>
        <w:t>Possibilities</w:t>
      </w:r>
    </w:p>
    <w:p>
      <w:pPr>
        <w:numPr>
          <w:ilvl w:val="0"/>
          <w:numId w:val="10"/>
        </w:numPr>
        <w:spacing w:before="0" w:after="80" w:line="300" w:lineRule="auto"/>
      </w:pPr>
      <w:r>
        <w:rPr>
          <w:rFonts w:ascii="Calibri" w:hAnsi="Calibri"/>
          <w:color w:val="000000"/>
          <w:sz w:val="22"/>
        </w:rPr>
        <w:t>direct structural consequence of impaired fluid clearance;</w:t>
      </w:r>
    </w:p>
    <w:p>
      <w:pPr>
        <w:numPr>
          <w:ilvl w:val="0"/>
          <w:numId w:val="10"/>
        </w:numPr>
        <w:spacing w:before="0" w:after="80" w:line="300" w:lineRule="auto"/>
      </w:pPr>
      <w:r>
        <w:rPr>
          <w:rFonts w:ascii="Calibri" w:hAnsi="Calibri"/>
          <w:color w:val="000000"/>
          <w:sz w:val="22"/>
        </w:rPr>
        <w:t>marker of vessel stiffening and smooth-muscle loss;</w:t>
      </w:r>
    </w:p>
    <w:p>
      <w:pPr>
        <w:numPr>
          <w:ilvl w:val="0"/>
          <w:numId w:val="10"/>
        </w:numPr>
        <w:spacing w:before="0" w:after="80" w:line="300" w:lineRule="auto"/>
      </w:pPr>
      <w:r>
        <w:rPr>
          <w:rFonts w:ascii="Calibri" w:hAnsi="Calibri"/>
          <w:color w:val="000000"/>
          <w:sz w:val="22"/>
        </w:rPr>
        <w:t>consequence of atrophy or tissue loss;</w:t>
      </w:r>
    </w:p>
    <w:p>
      <w:pPr>
        <w:numPr>
          <w:ilvl w:val="0"/>
          <w:numId w:val="10"/>
        </w:numPr>
        <w:spacing w:before="0" w:after="80" w:line="300" w:lineRule="auto"/>
      </w:pPr>
      <w:r>
        <w:rPr>
          <w:rFonts w:ascii="Calibri" w:hAnsi="Calibri"/>
          <w:color w:val="000000"/>
          <w:sz w:val="22"/>
        </w:rPr>
        <w:t>route-dependent response to CAA in centrum semiovale and B-ASC in basal ganglia;</w:t>
      </w:r>
    </w:p>
    <w:p>
      <w:pPr>
        <w:numPr>
          <w:ilvl w:val="0"/>
          <w:numId w:val="10"/>
        </w:numPr>
        <w:spacing w:before="0" w:after="80" w:line="300" w:lineRule="auto"/>
      </w:pPr>
      <w:r>
        <w:rPr>
          <w:rFonts w:ascii="Calibri" w:hAnsi="Calibri"/>
          <w:color w:val="000000"/>
          <w:sz w:val="22"/>
        </w:rPr>
        <w:t>nonspecific aging feature with disease-modified distribution.</w:t>
      </w:r>
    </w:p>
    <w:p>
      <w:pPr>
        <w:keepNext/>
        <w:spacing w:before="160" w:after="80"/>
      </w:pPr>
      <w:r>
        <w:rPr>
          <w:rFonts w:ascii="Calibri" w:hAnsi="Calibri"/>
          <w:b/>
          <w:color w:val="1F4D78"/>
          <w:sz w:val="22"/>
        </w:rPr>
        <w:t>Key methodological issue</w:t>
      </w:r>
    </w:p>
    <w:p>
      <w:pPr>
        <w:spacing w:before="0" w:after="120" w:line="300" w:lineRule="auto"/>
      </w:pPr>
      <w:r>
        <w:rPr>
          <w:rFonts w:ascii="Calibri" w:hAnsi="Calibri"/>
          <w:color w:val="000000"/>
          <w:sz w:val="22"/>
        </w:rPr>
        <w:t>Most studies count visible spaces on one slice or use thresholded segmentations. They do not measure flow, vessel identity, connectivity, or whether the PVS surrounds an artery or vein.</w:t>
      </w:r>
    </w:p>
    <w:p>
      <w:pPr>
        <w:keepNext/>
        <w:spacing w:before="160" w:after="80"/>
      </w:pPr>
      <w:r>
        <w:rPr>
          <w:rFonts w:ascii="Calibri" w:hAnsi="Calibri"/>
          <w:b/>
          <w:color w:val="1F4D78"/>
          <w:sz w:val="22"/>
        </w:rPr>
        <w:t>Needed tools</w:t>
      </w:r>
    </w:p>
    <w:p>
      <w:pPr>
        <w:spacing w:before="0" w:after="120" w:line="300" w:lineRule="auto"/>
      </w:pPr>
      <w:r>
        <w:rPr>
          <w:rFonts w:ascii="Calibri" w:hAnsi="Calibri"/>
          <w:color w:val="000000"/>
          <w:sz w:val="22"/>
        </w:rPr>
        <w:t>High-resolution 3D vessel/PVS imaging, arterial-versus-venous labeling, fluid-dynamic measurements, and tissue validation along the same penetrating vessel.</w:t>
      </w:r>
    </w:p>
    <w:p>
      <w:bookmarkStart w:id="71" w:name="section_062"/>
      <w:pPr>
        <w:pStyle w:val="Heading2"/>
      </w:pPr>
      <w:r>
        <w:t>8. Is brain arteriolosclerosis one disease or a family of lesions?</w:t>
      </w:r>
      <w:bookmarkEnd w:id="71"/>
    </w:p>
    <w:p>
      <w:pPr>
        <w:keepNext/>
        <w:spacing w:before="160" w:after="80"/>
      </w:pPr>
      <w:r>
        <w:rPr>
          <w:rFonts w:ascii="Calibri" w:hAnsi="Calibri"/>
          <w:b/>
          <w:color w:val="1F4D78"/>
          <w:sz w:val="22"/>
        </w:rPr>
        <w:t>Unitary view</w:t>
      </w:r>
    </w:p>
    <w:p>
      <w:pPr>
        <w:spacing w:before="0" w:after="120" w:line="300" w:lineRule="auto"/>
      </w:pPr>
      <w:r>
        <w:rPr>
          <w:rFonts w:ascii="Calibri" w:hAnsi="Calibri"/>
          <w:color w:val="000000"/>
          <w:sz w:val="22"/>
        </w:rPr>
        <w:t>Age, hypertension, diabetes, and metabolic/inflammatory stress converge on hyaline wall thickening, smooth-muscle loss, and luminal narrowing.</w:t>
      </w:r>
    </w:p>
    <w:p>
      <w:pPr>
        <w:keepNext/>
        <w:spacing w:before="160" w:after="80"/>
      </w:pPr>
      <w:r>
        <w:rPr>
          <w:rFonts w:ascii="Calibri" w:hAnsi="Calibri"/>
          <w:b/>
          <w:color w:val="1F4D78"/>
          <w:sz w:val="22"/>
        </w:rPr>
        <w:t>Heterogeneity view</w:t>
      </w:r>
    </w:p>
    <w:p>
      <w:pPr>
        <w:spacing w:before="0" w:after="120" w:line="300" w:lineRule="auto"/>
      </w:pPr>
      <w:r>
        <w:rPr>
          <w:rFonts w:ascii="Calibri" w:hAnsi="Calibri"/>
          <w:color w:val="000000"/>
          <w:sz w:val="22"/>
        </w:rPr>
        <w:t>The same semiquantitative score may combine fibrosis, muscular remodeling, basement-membrane duplication, leakage, mineralization, inflammatory change, fibrinoid injury, and region-specific processes with different causes and consequences.</w:t>
      </w:r>
    </w:p>
    <w:p>
      <w:pPr>
        <w:keepNext/>
        <w:spacing w:before="160" w:after="80"/>
      </w:pPr>
      <w:r>
        <w:rPr>
          <w:rFonts w:ascii="Calibri" w:hAnsi="Calibri"/>
          <w:b/>
          <w:color w:val="1F4D78"/>
          <w:sz w:val="22"/>
        </w:rPr>
        <w:t>Why it matters</w:t>
      </w:r>
    </w:p>
    <w:p>
      <w:pPr>
        <w:spacing w:before="0" w:after="120" w:line="300" w:lineRule="auto"/>
      </w:pPr>
      <w:r>
        <w:rPr>
          <w:rFonts w:ascii="Calibri" w:hAnsi="Calibri"/>
          <w:color w:val="000000"/>
          <w:sz w:val="22"/>
        </w:rPr>
        <w:t>A heterogeneous pathology label weakens biomarker specificity and can hide treatment-responsive subtypes. A classifier trained on a binary or coarse autopsy label inherits that ambiguity.</w:t>
      </w:r>
    </w:p>
    <w:p>
      <w:pPr>
        <w:keepNext/>
        <w:spacing w:before="160" w:after="80"/>
      </w:pPr>
      <w:r>
        <w:rPr>
          <w:rFonts w:ascii="Calibri" w:hAnsi="Calibri"/>
          <w:b/>
          <w:color w:val="1F4D78"/>
          <w:sz w:val="22"/>
        </w:rPr>
        <w:t>Discriminating study</w:t>
      </w:r>
    </w:p>
    <w:p>
      <w:pPr>
        <w:spacing w:before="0" w:after="120" w:line="300" w:lineRule="auto"/>
      </w:pPr>
      <w:r>
        <w:rPr>
          <w:rFonts w:ascii="Calibri" w:hAnsi="Calibri"/>
          <w:color w:val="000000"/>
          <w:sz w:val="22"/>
        </w:rPr>
        <w:t>Unsupervised and hypothesis-driven spatial pathology across multiple regions using vessel morphometry, matrix proteomics, cell phenotyping, and clinical exposures. Replicate clusters, relate them to MRI/ARTS, and test differential cognitive and stroke outcomes.</w:t>
      </w:r>
    </w:p>
    <w:p>
      <w:bookmarkStart w:id="72" w:name="section_063"/>
      <w:pPr>
        <w:pStyle w:val="Heading2"/>
      </w:pPr>
      <w:r>
        <w:t>9. Does arteriolosclerosis cause hippocampal sclerosis and LATE-NC?</w:t>
      </w:r>
      <w:bookmarkEnd w:id="72"/>
    </w:p>
    <w:p>
      <w:pPr>
        <w:keepNext/>
        <w:spacing w:before="160" w:after="80"/>
      </w:pPr>
      <w:r>
        <w:rPr>
          <w:rFonts w:ascii="Calibri" w:hAnsi="Calibri"/>
          <w:b/>
          <w:color w:val="1F4D78"/>
          <w:sz w:val="22"/>
        </w:rPr>
        <w:t>Evidence for a relationship</w:t>
      </w:r>
    </w:p>
    <w:p>
      <w:pPr>
        <w:spacing w:before="0" w:after="120" w:line="300" w:lineRule="auto"/>
      </w:pPr>
      <w:r>
        <w:rPr>
          <w:rFonts w:ascii="Calibri" w:hAnsi="Calibri"/>
          <w:color w:val="000000"/>
          <w:sz w:val="22"/>
        </w:rPr>
        <w:t>Multiregional arteriolosclerosis has been associated with hippocampal sclerosis of aging in large autopsy datasets, and B-ASC often coexists with LATE-NC. The medial temporal lobe is vulnerable to vascular and proteinopathic injury.</w:t>
      </w:r>
    </w:p>
    <w:p>
      <w:pPr>
        <w:keepNext/>
        <w:spacing w:before="160" w:after="80"/>
      </w:pPr>
      <w:r>
        <w:rPr>
          <w:rFonts w:ascii="Calibri" w:hAnsi="Calibri"/>
          <w:b/>
          <w:color w:val="1F4D78"/>
          <w:sz w:val="22"/>
        </w:rPr>
        <w:t>Alternative explanations</w:t>
      </w:r>
    </w:p>
    <w:p>
      <w:pPr>
        <w:numPr>
          <w:ilvl w:val="0"/>
          <w:numId w:val="10"/>
        </w:numPr>
        <w:spacing w:before="0" w:after="80" w:line="300" w:lineRule="auto"/>
      </w:pPr>
      <w:r>
        <w:rPr>
          <w:rFonts w:ascii="Calibri" w:hAnsi="Calibri"/>
          <w:color w:val="000000"/>
          <w:sz w:val="22"/>
        </w:rPr>
        <w:t>common aging or genetic susceptibility;</w:t>
      </w:r>
    </w:p>
    <w:p>
      <w:pPr>
        <w:numPr>
          <w:ilvl w:val="0"/>
          <w:numId w:val="10"/>
        </w:numPr>
        <w:spacing w:before="0" w:after="80" w:line="300" w:lineRule="auto"/>
      </w:pPr>
      <w:r>
        <w:rPr>
          <w:rFonts w:ascii="Calibri" w:hAnsi="Calibri"/>
          <w:color w:val="000000"/>
          <w:sz w:val="22"/>
        </w:rPr>
        <w:t>systemic vascular/metabolic exposure affects both;</w:t>
      </w:r>
    </w:p>
    <w:p>
      <w:pPr>
        <w:numPr>
          <w:ilvl w:val="0"/>
          <w:numId w:val="10"/>
        </w:numPr>
        <w:spacing w:before="0" w:after="80" w:line="300" w:lineRule="auto"/>
      </w:pPr>
      <w:r>
        <w:rPr>
          <w:rFonts w:ascii="Calibri" w:hAnsi="Calibri"/>
          <w:color w:val="000000"/>
          <w:sz w:val="22"/>
        </w:rPr>
        <w:t>selection/collider bias in autopsy cohorts;</w:t>
      </w:r>
    </w:p>
    <w:p>
      <w:pPr>
        <w:numPr>
          <w:ilvl w:val="0"/>
          <w:numId w:val="10"/>
        </w:numPr>
        <w:spacing w:before="0" w:after="80" w:line="300" w:lineRule="auto"/>
      </w:pPr>
      <w:r>
        <w:rPr>
          <w:rFonts w:ascii="Calibri" w:hAnsi="Calibri"/>
          <w:color w:val="000000"/>
          <w:sz w:val="22"/>
        </w:rPr>
        <w:t>neurodegeneration alters vascular demand or structure;</w:t>
      </w:r>
    </w:p>
    <w:p>
      <w:pPr>
        <w:numPr>
          <w:ilvl w:val="0"/>
          <w:numId w:val="10"/>
        </w:numPr>
        <w:spacing w:before="0" w:after="80" w:line="300" w:lineRule="auto"/>
      </w:pPr>
      <w:r>
        <w:rPr>
          <w:rFonts w:ascii="Calibri" w:hAnsi="Calibri"/>
          <w:color w:val="000000"/>
          <w:sz w:val="22"/>
        </w:rPr>
        <w:t>regional tissue loss changes vessel-density measurements;</w:t>
      </w:r>
    </w:p>
    <w:p>
      <w:pPr>
        <w:numPr>
          <w:ilvl w:val="0"/>
          <w:numId w:val="10"/>
        </w:numPr>
        <w:spacing w:before="0" w:after="80" w:line="300" w:lineRule="auto"/>
      </w:pPr>
      <w:r>
        <w:rPr>
          <w:rFonts w:ascii="Calibri" w:hAnsi="Calibri"/>
          <w:color w:val="000000"/>
          <w:sz w:val="22"/>
        </w:rPr>
        <w:t>unmeasured co-pathology mediates the association.</w:t>
      </w:r>
    </w:p>
    <w:p>
      <w:pPr>
        <w:keepNext/>
        <w:spacing w:before="160" w:after="80"/>
      </w:pPr>
      <w:r>
        <w:rPr>
          <w:rFonts w:ascii="Calibri" w:hAnsi="Calibri"/>
          <w:b/>
          <w:color w:val="1F4D78"/>
          <w:sz w:val="22"/>
        </w:rPr>
        <w:t>Needed evidence</w:t>
      </w:r>
    </w:p>
    <w:p>
      <w:pPr>
        <w:spacing w:before="0" w:after="120" w:line="300" w:lineRule="auto"/>
      </w:pPr>
      <w:r>
        <w:rPr>
          <w:rFonts w:ascii="Calibri" w:hAnsi="Calibri"/>
          <w:color w:val="000000"/>
          <w:sz w:val="22"/>
        </w:rPr>
        <w:t>Longitudinal antemortem vascular biomarkers plus regional MRI, followed by standardized LATE/hippocampal pathology. Use mediation models only after establishing temporal order and explicitly test common-cause models.</w:t>
      </w:r>
    </w:p>
    <w:p>
      <w:bookmarkStart w:id="73" w:name="section_064"/>
      <w:pPr>
        <w:pStyle w:val="Heading2"/>
      </w:pPr>
      <w:r>
        <w:t>10. Is CAA independent of Alzheimer disease or part of one amyloid continuum?</w:t>
      </w:r>
      <w:bookmarkEnd w:id="73"/>
    </w:p>
    <w:p>
      <w:pPr>
        <w:keepNext/>
        <w:spacing w:before="160" w:after="80"/>
      </w:pPr>
      <w:r>
        <w:rPr>
          <w:rFonts w:ascii="Calibri" w:hAnsi="Calibri"/>
          <w:b/>
          <w:color w:val="1F4D78"/>
          <w:sz w:val="22"/>
        </w:rPr>
        <w:t>Continuum arguments</w:t>
      </w:r>
    </w:p>
    <w:p>
      <w:pPr>
        <w:spacing w:before="0" w:after="120" w:line="300" w:lineRule="auto"/>
      </w:pPr>
      <w:r>
        <w:rPr>
          <w:rFonts w:ascii="Calibri" w:hAnsi="Calibri"/>
          <w:color w:val="000000"/>
          <w:sz w:val="22"/>
        </w:rPr>
        <w:t>Shared Aβ production, APOE susceptibility, age dependence, and frequent coexistence imply linked clearance and deposition biology.</w:t>
      </w:r>
    </w:p>
    <w:p>
      <w:pPr>
        <w:keepNext/>
        <w:spacing w:before="160" w:after="80"/>
      </w:pPr>
      <w:r>
        <w:rPr>
          <w:rFonts w:ascii="Calibri" w:hAnsi="Calibri"/>
          <w:b/>
          <w:color w:val="1F4D78"/>
          <w:sz w:val="22"/>
        </w:rPr>
        <w:t>Distinct-disease arguments</w:t>
      </w:r>
    </w:p>
    <w:p>
      <w:pPr>
        <w:spacing w:before="0" w:after="120" w:line="300" w:lineRule="auto"/>
      </w:pPr>
      <w:r>
        <w:rPr>
          <w:rFonts w:ascii="Calibri" w:hAnsi="Calibri"/>
          <w:color w:val="000000"/>
          <w:sz w:val="22"/>
        </w:rPr>
        <w:t>Different Aβ isoform enrichment, vascular versus parenchymal compartment, clinical syndromes, hereditary CAA without typical AD pathology, and cases of AD without severe CAA support separable processes.</w:t>
      </w:r>
    </w:p>
    <w:p>
      <w:pPr>
        <w:keepNext/>
        <w:spacing w:before="160" w:after="80"/>
      </w:pPr>
      <w:r>
        <w:rPr>
          <w:rFonts w:ascii="Calibri" w:hAnsi="Calibri"/>
          <w:b/>
          <w:color w:val="1F4D78"/>
          <w:sz w:val="22"/>
        </w:rPr>
        <w:t>Better formulation</w:t>
      </w:r>
    </w:p>
    <w:p>
      <w:pPr>
        <w:spacing w:before="0" w:after="120" w:line="300" w:lineRule="auto"/>
      </w:pPr>
      <w:r>
        <w:rPr>
          <w:rFonts w:ascii="Calibri" w:hAnsi="Calibri"/>
          <w:color w:val="000000"/>
          <w:sz w:val="22"/>
        </w:rPr>
        <w:t>CAA and AD are partially coupled compartment-specific amyloid disorders. The coupling strength likely varies by genotype, disease stage, Aβ species, vascular physiology, and clearance pathway. Analyses should model both burdens rather than forcing a binary choice.</w:t>
      </w:r>
    </w:p>
    <w:p>
      <w:bookmarkStart w:id="74" w:name="section_065"/>
      <w:pPr>
        <w:pStyle w:val="Heading2"/>
      </w:pPr>
      <w:r>
        <w:t>11. Is neuroinflammation protective or destructive in CAA?</w:t>
      </w:r>
      <w:bookmarkEnd w:id="74"/>
    </w:p>
    <w:p>
      <w:pPr>
        <w:keepNext/>
        <w:spacing w:before="160" w:after="80"/>
      </w:pPr>
      <w:r>
        <w:rPr>
          <w:rFonts w:ascii="Calibri" w:hAnsi="Calibri"/>
          <w:b/>
          <w:color w:val="1F4D78"/>
          <w:sz w:val="22"/>
        </w:rPr>
        <w:t>Protective possibilities</w:t>
      </w:r>
    </w:p>
    <w:p>
      <w:pPr>
        <w:spacing w:before="0" w:after="120" w:line="300" w:lineRule="auto"/>
      </w:pPr>
      <w:r>
        <w:rPr>
          <w:rFonts w:ascii="Calibri" w:hAnsi="Calibri"/>
          <w:color w:val="000000"/>
          <w:sz w:val="22"/>
        </w:rPr>
        <w:t>Microglia, macrophages, antibodies, and complement may clear vascular Aβ and contain injury.</w:t>
      </w:r>
    </w:p>
    <w:p>
      <w:pPr>
        <w:keepNext/>
        <w:spacing w:before="160" w:after="80"/>
      </w:pPr>
      <w:r>
        <w:rPr>
          <w:rFonts w:ascii="Calibri" w:hAnsi="Calibri"/>
          <w:b/>
          <w:color w:val="1F4D78"/>
          <w:sz w:val="22"/>
        </w:rPr>
        <w:t>Destructive possibilities</w:t>
      </w:r>
    </w:p>
    <w:p>
      <w:pPr>
        <w:spacing w:before="0" w:after="120" w:line="300" w:lineRule="auto"/>
      </w:pPr>
      <w:r>
        <w:rPr>
          <w:rFonts w:ascii="Calibri" w:hAnsi="Calibri"/>
          <w:color w:val="000000"/>
          <w:sz w:val="22"/>
        </w:rPr>
        <w:t>The same response may increase protease activity, barrier leakage, edema, smooth-muscle loss, and rupture. CAA-ri and ARIA show that immune-mediated vascular amyloid mobilization can be clinically harmful.</w:t>
      </w:r>
    </w:p>
    <w:p>
      <w:pPr>
        <w:keepNext/>
        <w:spacing w:before="160" w:after="80"/>
      </w:pPr>
      <w:r>
        <w:rPr>
          <w:rFonts w:ascii="Calibri" w:hAnsi="Calibri"/>
          <w:b/>
          <w:color w:val="1F4D78"/>
          <w:sz w:val="22"/>
        </w:rPr>
        <w:t>Central question</w:t>
      </w:r>
    </w:p>
    <w:p>
      <w:pPr>
        <w:spacing w:before="0" w:after="120" w:line="300" w:lineRule="auto"/>
      </w:pPr>
      <w:r>
        <w:rPr>
          <w:rFonts w:ascii="Calibri" w:hAnsi="Calibri"/>
          <w:color w:val="000000"/>
          <w:sz w:val="22"/>
        </w:rPr>
        <w:t>Which immune programs, in which vascular compartments and disease stages, promote safe clearance versus destructive remodeling?</w:t>
      </w:r>
    </w:p>
    <w:p>
      <w:pPr>
        <w:keepNext/>
        <w:spacing w:before="160" w:after="80"/>
      </w:pPr>
      <w:r>
        <w:rPr>
          <w:rFonts w:ascii="Calibri" w:hAnsi="Calibri"/>
          <w:b/>
          <w:color w:val="1F4D78"/>
          <w:sz w:val="22"/>
        </w:rPr>
        <w:t>Decisive approach</w:t>
      </w:r>
    </w:p>
    <w:p>
      <w:pPr>
        <w:spacing w:before="0" w:after="120" w:line="300" w:lineRule="auto"/>
      </w:pPr>
      <w:r>
        <w:rPr>
          <w:rFonts w:ascii="Calibri" w:hAnsi="Calibri"/>
          <w:color w:val="000000"/>
          <w:sz w:val="22"/>
        </w:rPr>
        <w:t>Spatial single-cell and proteomic analysis of vessels across CAA grade and rupture state, paired with longitudinal imaging in anti-Aβ-treated and untreated cohorts. Treat treatment-associated ARIA as a perturbation experiment but account for dose, antibody, APOE, baseline CMB/cSS, and AD severity.</w:t>
      </w:r>
    </w:p>
    <w:p>
      <w:bookmarkStart w:id="75" w:name="section_066"/>
      <w:pPr>
        <w:pStyle w:val="Heading2"/>
      </w:pPr>
      <w:r>
        <w:t>12. Does intensive vascular-risk control prevent cSVD cognitive decline?</w:t>
      </w:r>
      <w:bookmarkEnd w:id="75"/>
    </w:p>
    <w:p>
      <w:pPr>
        <w:spacing w:before="0" w:after="120" w:line="300" w:lineRule="auto"/>
      </w:pPr>
      <w:r>
        <w:rPr>
          <w:rFonts w:ascii="Calibri" w:hAnsi="Calibri"/>
          <w:color w:val="000000"/>
          <w:sz w:val="22"/>
        </w:rPr>
        <w:t>Blood-pressure trials show that intensive control can slow WMH accumulation in selected populations, and vascular health is a rational intervention target. Remaining uncertainties include the optimal target by age/frailty, whether established CAA behaves differently, competing ischemic and hemorrhagic risks, and how much cognitive benefit is mediated by cSVD rather than other pathways.</w:t>
      </w:r>
    </w:p>
    <w:p>
      <w:pPr>
        <w:spacing w:before="0" w:after="120" w:line="300" w:lineRule="auto"/>
      </w:pPr>
      <w:r>
        <w:rPr>
          <w:rFonts w:ascii="Calibri" w:hAnsi="Calibri"/>
          <w:color w:val="000000"/>
          <w:sz w:val="22"/>
        </w:rPr>
        <w:t>The research error is to infer mechanism solely because a risk-factor intervention changes a downstream marker. Mediation requires measurement of the proposed pathway and attention to treatment-induced competing effects.</w:t>
      </w:r>
    </w:p>
    <w:p>
      <w:bookmarkStart w:id="76" w:name="section_067"/>
      <w:pPr>
        <w:pStyle w:val="Heading2"/>
      </w:pPr>
      <w:r>
        <w:t>13. Should anti-amyloid therapy be viewed as a CAA experiment?</w:t>
      </w:r>
      <w:bookmarkEnd w:id="76"/>
    </w:p>
    <w:p>
      <w:pPr>
        <w:spacing w:before="0" w:after="120" w:line="300" w:lineRule="auto"/>
      </w:pPr>
      <w:r>
        <w:rPr>
          <w:rFonts w:ascii="Calibri" w:hAnsi="Calibri"/>
          <w:color w:val="000000"/>
          <w:sz w:val="22"/>
        </w:rPr>
        <w:t>Anti-Aβ antibodies mobilize amyloid and can cause ARIA-E/H, with risk influenced by APOE, baseline hemorrhagic lesions, treatment, and likely vascular amyloid. This offers evidence that vascular amyloid handling and inflammation are mechanistically connected.</w:t>
      </w:r>
    </w:p>
    <w:p>
      <w:pPr>
        <w:spacing w:before="0" w:after="120" w:line="300" w:lineRule="auto"/>
      </w:pPr>
      <w:r>
        <w:rPr>
          <w:rFonts w:ascii="Calibri" w:hAnsi="Calibri"/>
          <w:color w:val="000000"/>
          <w:sz w:val="22"/>
        </w:rPr>
        <w:t>However, treatment-associated ARIA is not a pure experiment on spontaneous CAA: participants have AD, drug exposure is nonphysiologic, MRI surveillance alters detection, and trial exclusion criteria truncate the CAA spectrum. The most informative studies integrate baseline CAA markers, drug-specific exposure, longitudinal fluid/imaging measures, and pathology when available.</w:t>
      </w:r>
    </w:p>
    <w:p>
      <w:bookmarkStart w:id="77" w:name="section_068"/>
      <w:pPr>
        <w:pStyle w:val="Heading2"/>
      </w:pPr>
      <w:r>
        <w:t>14. Do composite SVD scores clarify or obscure?</w:t>
      </w:r>
      <w:bookmarkEnd w:id="77"/>
    </w:p>
    <w:p>
      <w:pPr>
        <w:keepNext/>
        <w:spacing w:before="160" w:after="80"/>
      </w:pPr>
      <w:r>
        <w:rPr>
          <w:rFonts w:ascii="Calibri" w:hAnsi="Calibri"/>
          <w:b/>
          <w:color w:val="1F4D78"/>
          <w:sz w:val="22"/>
        </w:rPr>
        <w:t>Value</w:t>
      </w:r>
    </w:p>
    <w:p>
      <w:pPr>
        <w:spacing w:before="0" w:after="120" w:line="300" w:lineRule="auto"/>
      </w:pPr>
      <w:r>
        <w:rPr>
          <w:rFonts w:ascii="Calibri" w:hAnsi="Calibri"/>
          <w:color w:val="000000"/>
          <w:sz w:val="22"/>
        </w:rPr>
        <w:t>They summarize burden, improve statistical power, reduce multiple testing, and can stratify prognosis.</w:t>
      </w:r>
    </w:p>
    <w:p>
      <w:pPr>
        <w:keepNext/>
        <w:spacing w:before="160" w:after="80"/>
      </w:pPr>
      <w:r>
        <w:rPr>
          <w:rFonts w:ascii="Calibri" w:hAnsi="Calibri"/>
          <w:b/>
          <w:color w:val="1F4D78"/>
          <w:sz w:val="22"/>
        </w:rPr>
        <w:t>Cost</w:t>
      </w:r>
    </w:p>
    <w:p>
      <w:pPr>
        <w:spacing w:before="0" w:after="120" w:line="300" w:lineRule="auto"/>
      </w:pPr>
      <w:r>
        <w:rPr>
          <w:rFonts w:ascii="Calibri" w:hAnsi="Calibri"/>
          <w:color w:val="000000"/>
          <w:sz w:val="22"/>
        </w:rPr>
        <w:t>They threshold continuous biology, weight lesions arbitrarily, mix causes and stages, and can hide opposing component effects. A 0-4 total SVD score and a 0-6 CAA-SVD score are not interchangeable.</w:t>
      </w:r>
    </w:p>
    <w:p>
      <w:pPr>
        <w:keepNext/>
        <w:spacing w:before="160" w:after="80"/>
      </w:pPr>
      <w:r>
        <w:rPr>
          <w:rFonts w:ascii="Calibri" w:hAnsi="Calibri"/>
          <w:b/>
          <w:color w:val="1F4D78"/>
          <w:sz w:val="22"/>
        </w:rPr>
        <w:t>Best practice</w:t>
      </w:r>
    </w:p>
    <w:p>
      <w:pPr>
        <w:spacing w:before="0" w:after="120" w:line="300" w:lineRule="auto"/>
      </w:pPr>
      <w:r>
        <w:rPr>
          <w:rFonts w:ascii="Calibri" w:hAnsi="Calibri"/>
          <w:color w:val="000000"/>
          <w:sz w:val="22"/>
        </w:rPr>
        <w:t>Report the composite and all components. Predefine missing-data handling. Test whether results persist with continuous measures, alternative weights, and latent-variable models.</w:t>
      </w:r>
    </w:p>
    <w:p>
      <w:bookmarkStart w:id="78" w:name="section_069"/>
      <w:pPr>
        <w:pStyle w:val="Heading2"/>
      </w:pPr>
      <w:r>
        <w:t>15. A living hypothesis matrix</w:t>
      </w:r>
      <w:bookmarkEnd w:id="78"/>
    </w:p>
    <w:p>
      <w:pPr>
        <w:spacing w:before="20" w:after="40" w:line="276" w:lineRule="auto"/>
      </w:pPr>
      <w:r>
        <w:rPr>
          <w:rFonts w:ascii="Calibri" w:hAnsi="Calibri"/>
          <w:b/>
          <w:color w:val="1F4D78"/>
          <w:sz w:val="21"/>
        </w:rPr>
        <w:t>Record 1</w:t>
      </w:r>
    </w:p>
    <w:p>
      <w:pPr>
        <w:spacing w:before="0" w:after="40" w:line="269" w:lineRule="auto"/>
        <w:ind w:left="317"/>
      </w:pPr>
      <w:r>
        <w:rPr>
          <w:rFonts w:ascii="Calibri" w:hAnsi="Calibri"/>
          <w:b/>
          <w:color w:val="203748"/>
          <w:sz w:val="19"/>
        </w:rPr>
        <w:t xml:space="preserve">Claim: </w:t>
      </w:r>
      <w:r>
        <w:rPr>
          <w:rFonts w:ascii="Calibri" w:hAnsi="Calibri"/>
          <w:color w:val="000000"/>
          <w:sz w:val="19"/>
        </w:rPr>
        <w:t>CAA includes impaired perivascular clearance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Anatomy, experimental tracers, PVS-pathology spatial evidence</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Human flow direction and temporal order unresolved</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Longitudinal dynamic human study</w:t>
      </w:r>
    </w:p>
    <w:p>
      <w:pPr>
        <w:spacing w:before="100" w:after="40" w:line="276" w:lineRule="auto"/>
      </w:pPr>
      <w:r>
        <w:rPr>
          <w:rFonts w:ascii="Calibri" w:hAnsi="Calibri"/>
          <w:b/>
          <w:color w:val="1F4D78"/>
          <w:sz w:val="21"/>
        </w:rPr>
        <w:t>Record 2</w:t>
      </w:r>
    </w:p>
    <w:p>
      <w:pPr>
        <w:spacing w:before="0" w:after="40" w:line="269" w:lineRule="auto"/>
        <w:ind w:left="317"/>
      </w:pPr>
      <w:r>
        <w:rPr>
          <w:rFonts w:ascii="Calibri" w:hAnsi="Calibri"/>
          <w:b/>
          <w:color w:val="203748"/>
          <w:sz w:val="19"/>
        </w:rPr>
        <w:t xml:space="preserve">Claim: </w:t>
      </w:r>
      <w:r>
        <w:rPr>
          <w:rFonts w:ascii="Calibri" w:hAnsi="Calibri"/>
          <w:color w:val="000000"/>
          <w:sz w:val="19"/>
        </w:rPr>
        <w:t>Physiology changes before hemorrhage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Moderate-high in hereditary CAA; moderate in sporadic CAA</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Hereditary trajectories and CVR data</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Extrapolation to sporadic disease</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Presymptomatic sporadic biomarkers</w:t>
      </w:r>
    </w:p>
    <w:p>
      <w:pPr>
        <w:spacing w:before="100" w:after="40" w:line="276" w:lineRule="auto"/>
      </w:pPr>
      <w:r>
        <w:rPr>
          <w:rFonts w:ascii="Calibri" w:hAnsi="Calibri"/>
          <w:b/>
          <w:color w:val="1F4D78"/>
          <w:sz w:val="21"/>
        </w:rPr>
        <w:t>Record 3</w:t>
      </w:r>
    </w:p>
    <w:p>
      <w:pPr>
        <w:spacing w:before="0" w:after="40" w:line="269" w:lineRule="auto"/>
        <w:ind w:left="317"/>
      </w:pPr>
      <w:r>
        <w:rPr>
          <w:rFonts w:ascii="Calibri" w:hAnsi="Calibri"/>
          <w:b/>
          <w:color w:val="203748"/>
          <w:sz w:val="19"/>
        </w:rPr>
        <w:t xml:space="preserve">Claim: </w:t>
      </w:r>
      <w:r>
        <w:rPr>
          <w:rFonts w:ascii="Calibri" w:hAnsi="Calibri"/>
          <w:color w:val="000000"/>
          <w:sz w:val="19"/>
        </w:rPr>
        <w:t>BBB leakage participates in CAA remodeling</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Localized histopathology</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Small cross-sectional samples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MRI-to-whole-vessel pathology</w:t>
      </w:r>
    </w:p>
    <w:p>
      <w:pPr>
        <w:spacing w:before="100" w:after="40" w:line="276" w:lineRule="auto"/>
      </w:pPr>
      <w:r>
        <w:rPr>
          <w:rFonts w:ascii="Calibri" w:hAnsi="Calibri"/>
          <w:b/>
          <w:color w:val="1F4D78"/>
          <w:sz w:val="21"/>
        </w:rPr>
        <w:t>Record 4</w:t>
      </w:r>
    </w:p>
    <w:p>
      <w:pPr>
        <w:spacing w:before="0" w:after="40" w:line="269" w:lineRule="auto"/>
        <w:ind w:left="317"/>
      </w:pPr>
      <w:r>
        <w:rPr>
          <w:rFonts w:ascii="Calibri" w:hAnsi="Calibri"/>
          <w:b/>
          <w:color w:val="203748"/>
          <w:sz w:val="19"/>
        </w:rPr>
        <w:t xml:space="preserve">Claim: </w:t>
      </w:r>
      <w:r>
        <w:rPr>
          <w:rFonts w:ascii="Calibri" w:hAnsi="Calibri"/>
          <w:color w:val="000000"/>
          <w:sz w:val="19"/>
        </w:rPr>
        <w:t>Lobar CMBs are pathognomonic of CAA</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 as an absolute claim</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Strong group-level distribution</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Arteriolosclerosis false positives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Lesion-level MRI-pathology atlas</w:t>
      </w:r>
    </w:p>
    <w:p>
      <w:pPr>
        <w:spacing w:before="100" w:after="40" w:line="276" w:lineRule="auto"/>
      </w:pPr>
      <w:r>
        <w:rPr>
          <w:rFonts w:ascii="Calibri" w:hAnsi="Calibri"/>
          <w:b/>
          <w:color w:val="1F4D78"/>
          <w:sz w:val="21"/>
        </w:rPr>
        <w:t>Record 5</w:t>
      </w:r>
    </w:p>
    <w:p>
      <w:pPr>
        <w:spacing w:before="0" w:after="40" w:line="269" w:lineRule="auto"/>
        <w:ind w:left="317"/>
      </w:pPr>
      <w:r>
        <w:rPr>
          <w:rFonts w:ascii="Calibri" w:hAnsi="Calibri"/>
          <w:b/>
          <w:color w:val="203748"/>
          <w:sz w:val="19"/>
        </w:rPr>
        <w:t xml:space="preserve">Claim: </w:t>
      </w:r>
      <w:r>
        <w:rPr>
          <w:rFonts w:ascii="Calibri" w:hAnsi="Calibri"/>
          <w:color w:val="000000"/>
          <w:sz w:val="19"/>
        </w:rPr>
        <w:t>B-ASC is a single homogeneous pathology</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Common grading systems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Marked morphologic/regional heterogeneity</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Molecular-spatial subtyping</w:t>
      </w:r>
    </w:p>
    <w:p>
      <w:pPr>
        <w:spacing w:before="100" w:after="40" w:line="276" w:lineRule="auto"/>
      </w:pPr>
      <w:r>
        <w:rPr>
          <w:rFonts w:ascii="Calibri" w:hAnsi="Calibri"/>
          <w:b/>
          <w:color w:val="1F4D78"/>
          <w:sz w:val="21"/>
        </w:rPr>
        <w:t>Record 6</w:t>
      </w:r>
    </w:p>
    <w:p>
      <w:pPr>
        <w:spacing w:before="0" w:after="40" w:line="269" w:lineRule="auto"/>
        <w:ind w:left="317"/>
      </w:pPr>
      <w:r>
        <w:rPr>
          <w:rFonts w:ascii="Calibri" w:hAnsi="Calibri"/>
          <w:b/>
          <w:color w:val="203748"/>
          <w:sz w:val="19"/>
        </w:rPr>
        <w:t xml:space="preserve">Claim: </w:t>
      </w:r>
      <w:r>
        <w:rPr>
          <w:rFonts w:ascii="Calibri" w:hAnsi="Calibri"/>
          <w:color w:val="000000"/>
          <w:sz w:val="19"/>
        </w:rPr>
        <w:t>ARTS measures clinically meaningful B-ASC risk</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Moderate and strengthening</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Pathology-linked development, reproducibility, cognitive/outcome associations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Generalizability and causal responsiveness</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Prospective diverse intervention cohorts</w:t>
      </w:r>
    </w:p>
    <w:p>
      <w:pPr>
        <w:spacing w:before="100" w:after="40" w:line="276" w:lineRule="auto"/>
      </w:pPr>
      <w:r>
        <w:rPr>
          <w:rFonts w:ascii="Calibri" w:hAnsi="Calibri"/>
          <w:b/>
          <w:color w:val="1F4D78"/>
          <w:sz w:val="21"/>
        </w:rPr>
        <w:t>Record 7</w:t>
      </w:r>
    </w:p>
    <w:p>
      <w:pPr>
        <w:spacing w:before="0" w:after="40" w:line="269" w:lineRule="auto"/>
        <w:ind w:left="317"/>
      </w:pPr>
      <w:r>
        <w:rPr>
          <w:rFonts w:ascii="Calibri" w:hAnsi="Calibri"/>
          <w:b/>
          <w:color w:val="203748"/>
          <w:sz w:val="19"/>
        </w:rPr>
        <w:t xml:space="preserve">Claim: </w:t>
      </w:r>
      <w:r>
        <w:rPr>
          <w:rFonts w:ascii="Calibri" w:hAnsi="Calibri"/>
          <w:color w:val="000000"/>
          <w:sz w:val="19"/>
        </w:rPr>
        <w:t>Inflammation is purely harmful in CAA</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Low</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CAA-ri/ARIA injury</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Clearance may also be protective</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Stage/cell-specific perturbation</w:t>
      </w:r>
    </w:p>
    <w:p>
      <w:pPr>
        <w:spacing w:before="100" w:after="40" w:line="276" w:lineRule="auto"/>
      </w:pPr>
      <w:r>
        <w:rPr>
          <w:rFonts w:ascii="Calibri" w:hAnsi="Calibri"/>
          <w:b/>
          <w:color w:val="1F4D78"/>
          <w:sz w:val="21"/>
        </w:rPr>
        <w:t>Record 8</w:t>
      </w:r>
    </w:p>
    <w:p>
      <w:pPr>
        <w:spacing w:before="0" w:after="40" w:line="269" w:lineRule="auto"/>
        <w:ind w:left="317"/>
      </w:pPr>
      <w:r>
        <w:rPr>
          <w:rFonts w:ascii="Calibri" w:hAnsi="Calibri"/>
          <w:b/>
          <w:color w:val="203748"/>
          <w:sz w:val="19"/>
        </w:rPr>
        <w:t xml:space="preserve">Claim: </w:t>
      </w:r>
      <w:r>
        <w:rPr>
          <w:rFonts w:ascii="Calibri" w:hAnsi="Calibri"/>
          <w:color w:val="000000"/>
          <w:sz w:val="19"/>
        </w:rPr>
        <w:t>Mixed pathology explains much late-life cognitive variance</w:t>
      </w:r>
    </w:p>
    <w:p>
      <w:pPr>
        <w:spacing w:before="0" w:after="40" w:line="269" w:lineRule="auto"/>
        <w:ind w:left="317"/>
      </w:pPr>
      <w:r>
        <w:rPr>
          <w:rFonts w:ascii="Calibri" w:hAnsi="Calibri"/>
          <w:b/>
          <w:color w:val="203748"/>
          <w:sz w:val="19"/>
        </w:rPr>
        <w:t xml:space="preserve">Current confidence: </w:t>
      </w:r>
      <w:r>
        <w:rPr>
          <w:rFonts w:ascii="Calibri" w:hAnsi="Calibri"/>
          <w:color w:val="000000"/>
          <w:sz w:val="19"/>
        </w:rPr>
        <w:t>High</w:t>
      </w:r>
    </w:p>
    <w:p>
      <w:pPr>
        <w:spacing w:before="0" w:after="40" w:line="269" w:lineRule="auto"/>
        <w:ind w:left="317"/>
      </w:pPr>
      <w:r>
        <w:rPr>
          <w:rFonts w:ascii="Calibri" w:hAnsi="Calibri"/>
          <w:b/>
          <w:color w:val="203748"/>
          <w:sz w:val="19"/>
        </w:rPr>
        <w:t xml:space="preserve">Strongest support: </w:t>
      </w:r>
      <w:r>
        <w:rPr>
          <w:rFonts w:ascii="Calibri" w:hAnsi="Calibri"/>
          <w:color w:val="000000"/>
          <w:sz w:val="19"/>
        </w:rPr>
        <w:t>Repeated autopsy cohorts</w:t>
      </w:r>
    </w:p>
    <w:p>
      <w:pPr>
        <w:spacing w:before="0" w:after="40" w:line="269" w:lineRule="auto"/>
        <w:ind w:left="317"/>
      </w:pPr>
      <w:r>
        <w:rPr>
          <w:rFonts w:ascii="Calibri" w:hAnsi="Calibri"/>
          <w:b/>
          <w:color w:val="203748"/>
          <w:sz w:val="19"/>
        </w:rPr>
        <w:t xml:space="preserve">Strongest limitation: </w:t>
      </w:r>
      <w:r>
        <w:rPr>
          <w:rFonts w:ascii="Calibri" w:hAnsi="Calibri"/>
          <w:color w:val="000000"/>
          <w:sz w:val="19"/>
        </w:rPr>
        <w:t>Attribution and interaction models remain difficult</w:t>
      </w:r>
    </w:p>
    <w:p>
      <w:pPr>
        <w:spacing w:before="0" w:after="40" w:line="269" w:lineRule="auto"/>
        <w:ind w:left="317"/>
      </w:pPr>
      <w:r>
        <w:rPr>
          <w:rFonts w:ascii="Calibri" w:hAnsi="Calibri"/>
          <w:b/>
          <w:color w:val="203748"/>
          <w:sz w:val="19"/>
        </w:rPr>
        <w:t xml:space="preserve">Priority next step: </w:t>
      </w:r>
      <w:r>
        <w:rPr>
          <w:rFonts w:ascii="Calibri" w:hAnsi="Calibri"/>
          <w:color w:val="000000"/>
          <w:sz w:val="19"/>
        </w:rPr>
        <w:t>Longitudinal multimodal-pathology cohorts</w:t>
      </w:r>
    </w:p>
    <w:p>
      <w:pPr>
        <w:spacing w:before="0" w:after="120" w:line="300" w:lineRule="auto"/>
      </w:pPr>
      <w:r>
        <w:rPr>
          <w:rFonts w:ascii="Calibri" w:hAnsi="Calibri"/>
          <w:color w:val="000000"/>
          <w:sz w:val="22"/>
        </w:rPr>
        <w:t>Update this matrix when new data change confidence, not merely when a new paper appears.</w:t>
      </w:r>
    </w:p>
    <w:p>
      <w:pPr>
        <w:keepNext/>
        <w:spacing w:before="160" w:after="60"/>
        <w:jc w:val="center"/>
      </w:pPr>
      <w:r>
        <w:drawing>
          <wp:inline xmlns:a="http://schemas.openxmlformats.org/drawingml/2006/main" xmlns:pic="http://schemas.openxmlformats.org/drawingml/2006/picture">
            <wp:extent cx="5715000" cy="3214688"/>
            <wp:docPr id="7" name="Picture 7" descr="Four-stage CAA progression hypothesis with a feedback loop from tissue injury to clearance and vascular function." title="Four-stage CAA progression hypothesis with a feedback loop from tissue injury to clearance and vascular function"/>
            <wp:cNvGraphicFramePr>
              <a:graphicFrameLocks noChangeAspect="1"/>
            </wp:cNvGraphicFramePr>
            <a:graphic>
              <a:graphicData uri="http://schemas.openxmlformats.org/drawingml/2006/picture">
                <pic:pic>
                  <pic:nvPicPr>
                    <pic:cNvPr id="0" name="figure_04_caa_progression.png"/>
                    <pic:cNvPicPr/>
                  </pic:nvPicPr>
                  <pic:blipFill>
                    <a:blip r:embed="rId38"/>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7. </w:t>
      </w:r>
      <w:r>
        <w:rPr>
          <w:rFonts w:ascii="Calibri" w:hAnsi="Calibri"/>
          <w:i/>
          <w:color w:val="5A626C"/>
          <w:sz w:val="19"/>
        </w:rPr>
        <w:t>Four-stage CAA progression hypothesis with a feedback loop from tissue injury to clearance and vascular function.</w:t>
      </w:r>
    </w:p>
    <w:p>
      <w:bookmarkStart w:id="79" w:name="section_070"/>
      <w:pPr>
        <w:pStyle w:val="Heading1"/>
      </w:pPr>
      <w:r>
        <w:t>Research Agenda: From Knowledge Gaps to Testable Projects</w:t>
      </w:r>
      <w:bookmarkEnd w:id="79"/>
      <w:r>
        <w:rPr>
          <w:rFonts w:ascii="Calibri" w:hAnsi="Calibri"/>
          <w:color w:val="000000"/>
          <w:sz w:val="16"/>
        </w:rPr>
        <w:t xml:space="preserve">   </w:t>
      </w:r>
      <w:hyperlink w:anchor="Contents">
        <w:r>
          <w:rPr>
            <w:color w:val="2E74B5"/>
            <w:u w:val="single"/>
            <w:sz w:val="16"/>
          </w:rPr>
          <w:t>Back to contents</w:t>
        </w:r>
      </w:hyperlink>
    </w:p>
    <w:p>
      <w:bookmarkStart w:id="80" w:name="section_071"/>
      <w:pPr>
        <w:pStyle w:val="Heading2"/>
      </w:pPr>
      <w:r>
        <w:t>1. The highest-value missing link</w:t>
      </w:r>
      <w:bookmarkEnd w:id="80"/>
    </w:p>
    <w:p>
      <w:pPr>
        <w:spacing w:before="0" w:after="120" w:line="300" w:lineRule="auto"/>
      </w:pPr>
      <w:r>
        <w:rPr>
          <w:rFonts w:ascii="Calibri" w:hAnsi="Calibri"/>
          <w:color w:val="000000"/>
          <w:sz w:val="22"/>
        </w:rPr>
        <w:t>The field has strong descriptions at three levels - autopsy vessel pathology, MRI lesion burden, and late clinical outcomes - but far fewer datasets connecting all three with temporal and spatial precision. The highest-value program is therefore:</w:t>
      </w:r>
    </w:p>
    <w:p>
      <w:pPr>
        <w:spacing w:before="80" w:after="160" w:line="288" w:lineRule="auto"/>
        <w:ind w:left="403" w:right="259"/>
        <w:shd w:fill="F4F6F9"/>
      </w:pPr>
      <w:r>
        <w:rPr>
          <w:rFonts w:ascii="Calibri" w:hAnsi="Calibri"/>
          <w:b/>
          <w:color w:val="203748"/>
          <w:sz w:val="22"/>
        </w:rPr>
        <w:t>Longitudinal, multimodal, regionally registered human phenotyping with eventual pathology, designed to distinguish CAA, arteriolosclerosis, and mixed disease before late irreversible lesions dominate.</w:t>
      </w:r>
    </w:p>
    <w:p>
      <w:bookmarkStart w:id="81" w:name="section_072"/>
      <w:pPr>
        <w:pStyle w:val="Heading2"/>
      </w:pPr>
      <w:r>
        <w:t>2. Ten priority research questions</w:t>
      </w:r>
      <w:bookmarkEnd w:id="81"/>
    </w:p>
    <w:p>
      <w:pPr>
        <w:numPr>
          <w:ilvl w:val="0"/>
          <w:numId w:val="19"/>
        </w:numPr>
        <w:spacing w:before="0" w:after="80" w:line="300" w:lineRule="auto"/>
      </w:pPr>
      <w:r>
        <w:rPr>
          <w:rFonts w:ascii="Calibri" w:hAnsi="Calibri"/>
          <w:color w:val="000000"/>
          <w:sz w:val="22"/>
        </w:rPr>
        <w:t>Which physiology or molecular markers identify prehemorrhagic CAA with adequate specificity against AD and B-ASC?</w:t>
      </w:r>
    </w:p>
    <w:p>
      <w:pPr>
        <w:numPr>
          <w:ilvl w:val="0"/>
          <w:numId w:val="19"/>
        </w:numPr>
        <w:spacing w:before="0" w:after="80" w:line="300" w:lineRule="auto"/>
      </w:pPr>
      <w:r>
        <w:rPr>
          <w:rFonts w:ascii="Calibri" w:hAnsi="Calibri"/>
          <w:color w:val="000000"/>
          <w:sz w:val="22"/>
        </w:rPr>
        <w:t>Can B-ASC be divided into reproducible molecular/morphologic subtypes with different risk factors and outcomes?</w:t>
      </w:r>
    </w:p>
    <w:p>
      <w:pPr>
        <w:numPr>
          <w:ilvl w:val="0"/>
          <w:numId w:val="19"/>
        </w:numPr>
        <w:spacing w:before="0" w:after="80" w:line="300" w:lineRule="auto"/>
      </w:pPr>
      <w:r>
        <w:rPr>
          <w:rFonts w:ascii="Calibri" w:hAnsi="Calibri"/>
          <w:color w:val="000000"/>
          <w:sz w:val="22"/>
        </w:rPr>
        <w:t>Does barrier leakage spatially and temporally precede specific WMH, microinfarcts, or microbleeds?</w:t>
      </w:r>
    </w:p>
    <w:p>
      <w:pPr>
        <w:numPr>
          <w:ilvl w:val="0"/>
          <w:numId w:val="19"/>
        </w:numPr>
        <w:spacing w:before="0" w:after="80" w:line="300" w:lineRule="auto"/>
      </w:pPr>
      <w:r>
        <w:rPr>
          <w:rFonts w:ascii="Calibri" w:hAnsi="Calibri"/>
          <w:color w:val="000000"/>
          <w:sz w:val="22"/>
        </w:rPr>
        <w:t>Which PVS features reflect impaired clearance rather than atrophy or nonspecific aging?</w:t>
      </w:r>
    </w:p>
    <w:p>
      <w:pPr>
        <w:numPr>
          <w:ilvl w:val="0"/>
          <w:numId w:val="19"/>
        </w:numPr>
        <w:spacing w:before="0" w:after="80" w:line="300" w:lineRule="auto"/>
      </w:pPr>
      <w:r>
        <w:rPr>
          <w:rFonts w:ascii="Calibri" w:hAnsi="Calibri"/>
          <w:color w:val="000000"/>
          <w:sz w:val="22"/>
        </w:rPr>
        <w:t>Can cortical-ribbon versus juxtacortical CMB localization reduce false-positive CAA classification?</w:t>
      </w:r>
    </w:p>
    <w:p>
      <w:pPr>
        <w:numPr>
          <w:ilvl w:val="0"/>
          <w:numId w:val="19"/>
        </w:numPr>
        <w:spacing w:before="0" w:after="80" w:line="300" w:lineRule="auto"/>
      </w:pPr>
      <w:r>
        <w:rPr>
          <w:rFonts w:ascii="Calibri" w:hAnsi="Calibri"/>
          <w:color w:val="000000"/>
          <w:sz w:val="22"/>
        </w:rPr>
        <w:t>How do CAA and B-ASC interact when both are present: additive, synergistic, or regionally competitive?</w:t>
      </w:r>
    </w:p>
    <w:p>
      <w:pPr>
        <w:numPr>
          <w:ilvl w:val="0"/>
          <w:numId w:val="19"/>
        </w:numPr>
        <w:spacing w:before="0" w:after="80" w:line="300" w:lineRule="auto"/>
      </w:pPr>
      <w:r>
        <w:rPr>
          <w:rFonts w:ascii="Calibri" w:hAnsi="Calibri"/>
          <w:color w:val="000000"/>
          <w:sz w:val="22"/>
        </w:rPr>
        <w:t>Which cSVD markers explain cognitive decline independently of AD, LATE-NC, and brain reserve?</w:t>
      </w:r>
    </w:p>
    <w:p>
      <w:pPr>
        <w:numPr>
          <w:ilvl w:val="0"/>
          <w:numId w:val="19"/>
        </w:numPr>
        <w:spacing w:before="0" w:after="80" w:line="300" w:lineRule="auto"/>
      </w:pPr>
      <w:r>
        <w:rPr>
          <w:rFonts w:ascii="Calibri" w:hAnsi="Calibri"/>
          <w:color w:val="000000"/>
          <w:sz w:val="22"/>
        </w:rPr>
        <w:t>Are ARTS, PSMD, free water, and CVR responsive to intervention and predictive of meaningful benefit?</w:t>
      </w:r>
    </w:p>
    <w:p>
      <w:pPr>
        <w:numPr>
          <w:ilvl w:val="0"/>
          <w:numId w:val="19"/>
        </w:numPr>
        <w:spacing w:before="0" w:after="80" w:line="300" w:lineRule="auto"/>
      </w:pPr>
      <w:r>
        <w:rPr>
          <w:rFonts w:ascii="Calibri" w:hAnsi="Calibri"/>
          <w:color w:val="000000"/>
          <w:sz w:val="22"/>
        </w:rPr>
        <w:t>Which immune programs produce safe vascular Aβ clearance versus ARIA/CAA-ri-like injury?</w:t>
      </w:r>
    </w:p>
    <w:p>
      <w:pPr>
        <w:numPr>
          <w:ilvl w:val="0"/>
          <w:numId w:val="19"/>
        </w:numPr>
        <w:spacing w:before="0" w:after="80" w:line="300" w:lineRule="auto"/>
      </w:pPr>
      <w:r>
        <w:rPr>
          <w:rFonts w:ascii="Calibri" w:hAnsi="Calibri"/>
          <w:color w:val="000000"/>
          <w:sz w:val="22"/>
        </w:rPr>
        <w:t>How do biomarker performance and thresholds differ across ancestry, sex, age, scanner, and care setting?</w:t>
      </w:r>
    </w:p>
    <w:p>
      <w:bookmarkStart w:id="82" w:name="section_073"/>
      <w:pPr>
        <w:pStyle w:val="Heading2"/>
      </w:pPr>
      <w:r>
        <w:t>3. Near-term projects using existing cohorts</w:t>
      </w:r>
      <w:bookmarkEnd w:id="82"/>
    </w:p>
    <w:p>
      <w:pPr>
        <w:keepNext/>
        <w:spacing w:before="160" w:after="80"/>
      </w:pPr>
      <w:r>
        <w:rPr>
          <w:rFonts w:ascii="Calibri" w:hAnsi="Calibri"/>
          <w:b/>
          <w:color w:val="1F4D78"/>
          <w:sz w:val="22"/>
        </w:rPr>
        <w:t>Project A: lesion-location refinement for lobar microbleeds</w:t>
      </w:r>
    </w:p>
    <w:p>
      <w:pPr>
        <w:spacing w:before="0" w:after="120" w:line="300" w:lineRule="auto"/>
      </w:pPr>
      <w:r>
        <w:rPr>
          <w:rFonts w:ascii="Calibri" w:hAnsi="Calibri"/>
          <w:b/>
          <w:color w:val="000000"/>
          <w:sz w:val="22"/>
        </w:rPr>
        <w:t>Question:</w:t>
      </w:r>
      <w:r>
        <w:rPr>
          <w:rFonts w:ascii="Calibri" w:hAnsi="Calibri"/>
          <w:color w:val="000000"/>
          <w:sz w:val="22"/>
        </w:rPr>
        <w:t xml:space="preserve"> Does exact depth relative to the cortical ribbon distinguish CAA-linked from arteriolosclerosis-linked lobar CMBs?</w:t>
      </w:r>
    </w:p>
    <w:p>
      <w:pPr>
        <w:spacing w:before="0" w:after="120" w:line="300" w:lineRule="auto"/>
      </w:pPr>
      <w:r>
        <w:rPr>
          <w:rFonts w:ascii="Calibri" w:hAnsi="Calibri"/>
          <w:b/>
          <w:color w:val="000000"/>
          <w:sz w:val="22"/>
        </w:rPr>
        <w:t>Design:</w:t>
      </w:r>
      <w:r>
        <w:rPr>
          <w:rFonts w:ascii="Calibri" w:hAnsi="Calibri"/>
          <w:color w:val="000000"/>
          <w:sz w:val="22"/>
        </w:rPr>
        <w:t xml:space="preserve"> rate CMB centroid and distance to gray-white junction on high-resolution SWI/QSM; compare with Boston category, ARTS, deep SVD markers, and pathology where available.</w:t>
      </w:r>
    </w:p>
    <w:p>
      <w:pPr>
        <w:spacing w:before="0" w:after="120" w:line="300" w:lineRule="auto"/>
      </w:pPr>
      <w:r>
        <w:rPr>
          <w:rFonts w:ascii="Calibri" w:hAnsi="Calibri"/>
          <w:b/>
          <w:color w:val="000000"/>
          <w:sz w:val="22"/>
        </w:rPr>
        <w:t>Critical controls:</w:t>
      </w:r>
      <w:r>
        <w:rPr>
          <w:rFonts w:ascii="Calibri" w:hAnsi="Calibri"/>
          <w:color w:val="000000"/>
          <w:sz w:val="22"/>
        </w:rPr>
        <w:t xml:space="preserve"> veins/calcification, sequence parameters, cortical atrophy, lesion size, susceptibility blooming, mixed pathology.</w:t>
      </w:r>
    </w:p>
    <w:p>
      <w:pPr>
        <w:spacing w:before="0" w:after="120" w:line="300" w:lineRule="auto"/>
      </w:pPr>
      <w:r>
        <w:rPr>
          <w:rFonts w:ascii="Calibri" w:hAnsi="Calibri"/>
          <w:b/>
          <w:color w:val="000000"/>
          <w:sz w:val="22"/>
        </w:rPr>
        <w:t>Deliverable:</w:t>
      </w:r>
      <w:r>
        <w:rPr>
          <w:rFonts w:ascii="Calibri" w:hAnsi="Calibri"/>
          <w:color w:val="000000"/>
          <w:sz w:val="22"/>
        </w:rPr>
        <w:t xml:space="preserve"> open operational localization rule plus lesion-level and patient-level accuracy.</w:t>
      </w:r>
    </w:p>
    <w:p>
      <w:pPr>
        <w:keepNext/>
        <w:spacing w:before="160" w:after="80"/>
      </w:pPr>
      <w:r>
        <w:rPr>
          <w:rFonts w:ascii="Calibri" w:hAnsi="Calibri"/>
          <w:b/>
          <w:color w:val="1F4D78"/>
          <w:sz w:val="22"/>
        </w:rPr>
        <w:t>Project B: pathology-aware WMH phenotyping</w:t>
      </w:r>
    </w:p>
    <w:p>
      <w:pPr>
        <w:spacing w:before="0" w:after="120" w:line="300" w:lineRule="auto"/>
      </w:pPr>
      <w:r>
        <w:rPr>
          <w:rFonts w:ascii="Calibri" w:hAnsi="Calibri"/>
          <w:b/>
          <w:color w:val="000000"/>
          <w:sz w:val="22"/>
        </w:rPr>
        <w:t>Question:</w:t>
      </w:r>
      <w:r>
        <w:rPr>
          <w:rFonts w:ascii="Calibri" w:hAnsi="Calibri"/>
          <w:color w:val="000000"/>
          <w:sz w:val="22"/>
        </w:rPr>
        <w:t xml:space="preserve"> Which WMH morphology and microstructure distinguish CAA, B-ASC, and mixed disease?</w:t>
      </w:r>
    </w:p>
    <w:p>
      <w:pPr>
        <w:spacing w:before="0" w:after="120" w:line="300" w:lineRule="auto"/>
      </w:pPr>
      <w:r>
        <w:rPr>
          <w:rFonts w:ascii="Calibri" w:hAnsi="Calibri"/>
          <w:b/>
          <w:color w:val="000000"/>
          <w:sz w:val="22"/>
        </w:rPr>
        <w:t>Design:</w:t>
      </w:r>
      <w:r>
        <w:rPr>
          <w:rFonts w:ascii="Calibri" w:hAnsi="Calibri"/>
          <w:color w:val="000000"/>
          <w:sz w:val="22"/>
        </w:rPr>
        <w:t xml:space="preserve"> combine spatial WMH maps, multispot features, PSMD/free water, perfusion/CVR, ARTS, and neuropathology severity using nested cross-validation and held-out sites.</w:t>
      </w:r>
    </w:p>
    <w:p>
      <w:pPr>
        <w:spacing w:before="0" w:after="120" w:line="300" w:lineRule="auto"/>
      </w:pPr>
      <w:r>
        <w:rPr>
          <w:rFonts w:ascii="Calibri" w:hAnsi="Calibri"/>
          <w:b/>
          <w:color w:val="000000"/>
          <w:sz w:val="22"/>
        </w:rPr>
        <w:t>Avoid:</w:t>
      </w:r>
      <w:r>
        <w:rPr>
          <w:rFonts w:ascii="Calibri" w:hAnsi="Calibri"/>
          <w:color w:val="000000"/>
          <w:sz w:val="22"/>
        </w:rPr>
        <w:t xml:space="preserve"> training on Boston labels and then claiming pathology specificity without tissue validation.</w:t>
      </w:r>
    </w:p>
    <w:p>
      <w:pPr>
        <w:keepNext/>
        <w:spacing w:before="160" w:after="80"/>
      </w:pPr>
      <w:r>
        <w:rPr>
          <w:rFonts w:ascii="Calibri" w:hAnsi="Calibri"/>
          <w:b/>
          <w:color w:val="1F4D78"/>
          <w:sz w:val="22"/>
        </w:rPr>
        <w:t>Project C: B-ASC regional heterogeneity</w:t>
      </w:r>
    </w:p>
    <w:p>
      <w:pPr>
        <w:spacing w:before="0" w:after="120" w:line="300" w:lineRule="auto"/>
      </w:pPr>
      <w:r>
        <w:rPr>
          <w:rFonts w:ascii="Calibri" w:hAnsi="Calibri"/>
          <w:b/>
          <w:color w:val="000000"/>
          <w:sz w:val="22"/>
        </w:rPr>
        <w:t>Question:</w:t>
      </w:r>
      <w:r>
        <w:rPr>
          <w:rFonts w:ascii="Calibri" w:hAnsi="Calibri"/>
          <w:color w:val="000000"/>
          <w:sz w:val="22"/>
        </w:rPr>
        <w:t xml:space="preserve"> Is occipital white-matter arteriolosclerosis representative of frontal, temporal, hippocampal, basal-ganglia, and brainstem disease?</w:t>
      </w:r>
    </w:p>
    <w:p>
      <w:pPr>
        <w:spacing w:before="0" w:after="120" w:line="300" w:lineRule="auto"/>
      </w:pPr>
      <w:r>
        <w:rPr>
          <w:rFonts w:ascii="Calibri" w:hAnsi="Calibri"/>
          <w:b/>
          <w:color w:val="000000"/>
          <w:sz w:val="22"/>
        </w:rPr>
        <w:t>Design:</w:t>
      </w:r>
      <w:r>
        <w:rPr>
          <w:rFonts w:ascii="Calibri" w:hAnsi="Calibri"/>
          <w:color w:val="000000"/>
          <w:sz w:val="22"/>
        </w:rPr>
        <w:t xml:space="preserve"> multiregion morphometry and cell/matrix markers; estimate within-brain heterogeneity and the number of regions needed for stable classification.</w:t>
      </w:r>
    </w:p>
    <w:p>
      <w:pPr>
        <w:spacing w:before="0" w:after="120" w:line="300" w:lineRule="auto"/>
      </w:pPr>
      <w:r>
        <w:rPr>
          <w:rFonts w:ascii="Calibri" w:hAnsi="Calibri"/>
          <w:b/>
          <w:color w:val="000000"/>
          <w:sz w:val="22"/>
        </w:rPr>
        <w:t>Deliverable:</w:t>
      </w:r>
      <w:r>
        <w:rPr>
          <w:rFonts w:ascii="Calibri" w:hAnsi="Calibri"/>
          <w:color w:val="000000"/>
          <w:sz w:val="22"/>
        </w:rPr>
        <w:t xml:space="preserve"> sampling recommendation and uncertainty interval for a whole-brain B-ASC estimate.</w:t>
      </w:r>
    </w:p>
    <w:p>
      <w:pPr>
        <w:keepNext/>
        <w:spacing w:before="160" w:after="80"/>
      </w:pPr>
      <w:r>
        <w:rPr>
          <w:rFonts w:ascii="Calibri" w:hAnsi="Calibri"/>
          <w:b/>
          <w:color w:val="1F4D78"/>
          <w:sz w:val="22"/>
        </w:rPr>
        <w:t>Project D: mixed-pathology cognitive models</w:t>
      </w:r>
    </w:p>
    <w:p>
      <w:pPr>
        <w:spacing w:before="0" w:after="120" w:line="300" w:lineRule="auto"/>
      </w:pPr>
      <w:r>
        <w:rPr>
          <w:rFonts w:ascii="Calibri" w:hAnsi="Calibri"/>
          <w:b/>
          <w:color w:val="000000"/>
          <w:sz w:val="22"/>
        </w:rPr>
        <w:t>Question:</w:t>
      </w:r>
      <w:r>
        <w:rPr>
          <w:rFonts w:ascii="Calibri" w:hAnsi="Calibri"/>
          <w:color w:val="000000"/>
          <w:sz w:val="22"/>
        </w:rPr>
        <w:t xml:space="preserve"> How much longitudinal cognitive variance is uniquely and jointly explained by CAA, B-ASC, ADNC, LATE-NC, infarcts, and network integrity?</w:t>
      </w:r>
    </w:p>
    <w:p>
      <w:pPr>
        <w:spacing w:before="0" w:after="120" w:line="300" w:lineRule="auto"/>
      </w:pPr>
      <w:r>
        <w:rPr>
          <w:rFonts w:ascii="Calibri" w:hAnsi="Calibri"/>
          <w:b/>
          <w:color w:val="000000"/>
          <w:sz w:val="22"/>
        </w:rPr>
        <w:t>Design:</w:t>
      </w:r>
      <w:r>
        <w:rPr>
          <w:rFonts w:ascii="Calibri" w:hAnsi="Calibri"/>
          <w:color w:val="000000"/>
          <w:sz w:val="22"/>
        </w:rPr>
        <w:t xml:space="preserve"> hierarchical models with domain-specific slopes, age/time-to-death, education/reserve, scanner, and selection weights. Predefine interactions and avoid stepwise significance fishing.</w:t>
      </w:r>
    </w:p>
    <w:p>
      <w:pPr>
        <w:keepNext/>
        <w:spacing w:before="160" w:after="80"/>
      </w:pPr>
      <w:r>
        <w:rPr>
          <w:rFonts w:ascii="Calibri" w:hAnsi="Calibri"/>
          <w:b/>
          <w:color w:val="1F4D78"/>
          <w:sz w:val="22"/>
        </w:rPr>
        <w:t>Project E: ARTS transportability audit</w:t>
      </w:r>
    </w:p>
    <w:p>
      <w:pPr>
        <w:spacing w:before="0" w:after="120" w:line="300" w:lineRule="auto"/>
      </w:pPr>
      <w:r>
        <w:rPr>
          <w:rFonts w:ascii="Calibri" w:hAnsi="Calibri"/>
          <w:b/>
          <w:color w:val="000000"/>
          <w:sz w:val="22"/>
        </w:rPr>
        <w:t>Question:</w:t>
      </w:r>
      <w:r>
        <w:rPr>
          <w:rFonts w:ascii="Calibri" w:hAnsi="Calibri"/>
          <w:color w:val="000000"/>
          <w:sz w:val="22"/>
        </w:rPr>
        <w:t xml:space="preserve"> Does ARTS preserve calibration and prognostic value across age, ancestry, sex, vascular-risk burden, scanner vendor, field strength, and AD co-pathology?</w:t>
      </w:r>
    </w:p>
    <w:p>
      <w:pPr>
        <w:spacing w:before="0" w:after="120" w:line="300" w:lineRule="auto"/>
      </w:pPr>
      <w:r>
        <w:rPr>
          <w:rFonts w:ascii="Calibri" w:hAnsi="Calibri"/>
          <w:b/>
          <w:color w:val="000000"/>
          <w:sz w:val="22"/>
        </w:rPr>
        <w:t>Design:</w:t>
      </w:r>
      <w:r>
        <w:rPr>
          <w:rFonts w:ascii="Calibri" w:hAnsi="Calibri"/>
          <w:color w:val="000000"/>
          <w:sz w:val="22"/>
        </w:rPr>
        <w:t xml:space="preserve"> locked-container external validation with calibration plots, decision curves, subgroup uncertainty, failure audit, and comparisons against age/sex, WMH alone, and PSMD.</w:t>
      </w:r>
    </w:p>
    <w:p>
      <w:bookmarkStart w:id="83" w:name="section_074"/>
      <w:pPr>
        <w:pStyle w:val="Heading2"/>
      </w:pPr>
      <w:r>
        <w:t>4. Medium-term prospective studies</w:t>
      </w:r>
      <w:bookmarkEnd w:id="83"/>
    </w:p>
    <w:p>
      <w:pPr>
        <w:keepNext/>
        <w:spacing w:before="160" w:after="80"/>
      </w:pPr>
      <w:r>
        <w:rPr>
          <w:rFonts w:ascii="Calibri" w:hAnsi="Calibri"/>
          <w:b/>
          <w:color w:val="1F4D78"/>
          <w:sz w:val="22"/>
        </w:rPr>
        <w:t>A preclinical CAA observatory</w:t>
      </w:r>
    </w:p>
    <w:p>
      <w:pPr>
        <w:spacing w:before="0" w:after="120" w:line="300" w:lineRule="auto"/>
      </w:pPr>
      <w:r>
        <w:rPr>
          <w:rFonts w:ascii="Calibri" w:hAnsi="Calibri"/>
          <w:color w:val="000000"/>
          <w:sz w:val="22"/>
        </w:rPr>
        <w:t>Recruit hereditary CAA carriers and sporadic high-risk participants without symptomatic hemorrhage. Repeat:</w:t>
      </w:r>
    </w:p>
    <w:p>
      <w:pPr>
        <w:numPr>
          <w:ilvl w:val="0"/>
          <w:numId w:val="10"/>
        </w:numPr>
        <w:spacing w:before="0" w:after="80" w:line="300" w:lineRule="auto"/>
      </w:pPr>
      <w:r>
        <w:rPr>
          <w:rFonts w:ascii="Calibri" w:hAnsi="Calibri"/>
          <w:color w:val="000000"/>
          <w:sz w:val="22"/>
        </w:rPr>
        <w:t>SWI/QSM and high-resolution structural MRI;</w:t>
      </w:r>
    </w:p>
    <w:p>
      <w:pPr>
        <w:numPr>
          <w:ilvl w:val="0"/>
          <w:numId w:val="10"/>
        </w:numPr>
        <w:spacing w:before="0" w:after="80" w:line="300" w:lineRule="auto"/>
      </w:pPr>
      <w:r>
        <w:rPr>
          <w:rFonts w:ascii="Calibri" w:hAnsi="Calibri"/>
          <w:color w:val="000000"/>
          <w:sz w:val="22"/>
        </w:rPr>
        <w:t>DTI/free water/PSMD;</w:t>
      </w:r>
    </w:p>
    <w:p>
      <w:pPr>
        <w:numPr>
          <w:ilvl w:val="0"/>
          <w:numId w:val="10"/>
        </w:numPr>
        <w:spacing w:before="0" w:after="80" w:line="300" w:lineRule="auto"/>
      </w:pPr>
      <w:r>
        <w:rPr>
          <w:rFonts w:ascii="Calibri" w:hAnsi="Calibri"/>
          <w:color w:val="000000"/>
          <w:sz w:val="22"/>
        </w:rPr>
        <w:t>CVR, perfusion, pulsatility, and permeability;</w:t>
      </w:r>
    </w:p>
    <w:p>
      <w:pPr>
        <w:numPr>
          <w:ilvl w:val="0"/>
          <w:numId w:val="10"/>
        </w:numPr>
        <w:spacing w:before="0" w:after="80" w:line="300" w:lineRule="auto"/>
      </w:pPr>
      <w:r>
        <w:rPr>
          <w:rFonts w:ascii="Calibri" w:hAnsi="Calibri"/>
          <w:color w:val="000000"/>
          <w:sz w:val="22"/>
        </w:rPr>
        <w:t>amyloid/tau PET when justified;</w:t>
      </w:r>
    </w:p>
    <w:p>
      <w:pPr>
        <w:numPr>
          <w:ilvl w:val="0"/>
          <w:numId w:val="10"/>
        </w:numPr>
        <w:spacing w:before="0" w:after="80" w:line="300" w:lineRule="auto"/>
      </w:pPr>
      <w:r>
        <w:rPr>
          <w:rFonts w:ascii="Calibri" w:hAnsi="Calibri"/>
          <w:color w:val="000000"/>
          <w:sz w:val="22"/>
        </w:rPr>
        <w:t>plasma and CSF Aβ species, inflammatory and vascular markers;</w:t>
      </w:r>
    </w:p>
    <w:p>
      <w:pPr>
        <w:numPr>
          <w:ilvl w:val="0"/>
          <w:numId w:val="10"/>
        </w:numPr>
        <w:spacing w:before="0" w:after="80" w:line="300" w:lineRule="auto"/>
      </w:pPr>
      <w:r>
        <w:rPr>
          <w:rFonts w:ascii="Calibri" w:hAnsi="Calibri"/>
          <w:color w:val="000000"/>
          <w:sz w:val="22"/>
        </w:rPr>
        <w:t>sleep, blood pressure, gait, and sensitive cognition;</w:t>
      </w:r>
    </w:p>
    <w:p>
      <w:pPr>
        <w:numPr>
          <w:ilvl w:val="0"/>
          <w:numId w:val="10"/>
        </w:numPr>
        <w:spacing w:before="0" w:after="80" w:line="300" w:lineRule="auto"/>
      </w:pPr>
      <w:r>
        <w:rPr>
          <w:rFonts w:ascii="Calibri" w:hAnsi="Calibri"/>
          <w:color w:val="000000"/>
          <w:sz w:val="22"/>
        </w:rPr>
        <w:t>retinal/OCTA markers.</w:t>
      </w:r>
    </w:p>
    <w:p>
      <w:pPr>
        <w:spacing w:before="0" w:after="120" w:line="300" w:lineRule="auto"/>
      </w:pPr>
      <w:r>
        <w:rPr>
          <w:rFonts w:ascii="Calibri" w:hAnsi="Calibri"/>
          <w:color w:val="000000"/>
          <w:sz w:val="22"/>
        </w:rPr>
        <w:t>The analysis should test a preregistered temporal graph based on the four-stage CAA framework. Record treatment and anti-amyloid exposure.</w:t>
      </w:r>
    </w:p>
    <w:p>
      <w:pPr>
        <w:keepNext/>
        <w:spacing w:before="160" w:after="80"/>
      </w:pPr>
      <w:r>
        <w:rPr>
          <w:rFonts w:ascii="Calibri" w:hAnsi="Calibri"/>
          <w:b/>
          <w:color w:val="1F4D78"/>
          <w:sz w:val="22"/>
        </w:rPr>
        <w:t>A living MRI-autopsy bridge</w:t>
      </w:r>
    </w:p>
    <w:p>
      <w:pPr>
        <w:spacing w:before="0" w:after="120" w:line="300" w:lineRule="auto"/>
      </w:pPr>
      <w:r>
        <w:rPr>
          <w:rFonts w:ascii="Calibri" w:hAnsi="Calibri"/>
          <w:color w:val="000000"/>
          <w:sz w:val="22"/>
        </w:rPr>
        <w:t>Enroll participants with consent for brain donation. Maintain acquisition consistency, obtain last-life MRI where feasible, scan intact fixed hemispheres, identify lesions ex vivo, sample them with 3D registration, and serially reconstruct culprit vessels. Include lesion-negative control regions and non-CAA controls.</w:t>
      </w:r>
    </w:p>
    <w:p>
      <w:bookmarkStart w:id="84" w:name="section_075"/>
      <w:pPr>
        <w:pStyle w:val="Heading2"/>
      </w:pPr>
      <w:r>
        <w:t>5. Experimental studies that would translate</w:t>
      </w:r>
      <w:bookmarkEnd w:id="84"/>
    </w:p>
    <w:p>
      <w:pPr>
        <w:numPr>
          <w:ilvl w:val="0"/>
          <w:numId w:val="10"/>
        </w:numPr>
        <w:spacing w:before="0" w:after="80" w:line="300" w:lineRule="auto"/>
      </w:pPr>
      <w:r>
        <w:rPr>
          <w:rFonts w:ascii="Calibri" w:hAnsi="Calibri"/>
          <w:color w:val="000000"/>
          <w:sz w:val="22"/>
        </w:rPr>
        <w:t>Manipulate arterial pulsatility separately from mean pressure in models with human-like vascular amyloid.</w:t>
      </w:r>
    </w:p>
    <w:p>
      <w:pPr>
        <w:numPr>
          <w:ilvl w:val="0"/>
          <w:numId w:val="10"/>
        </w:numPr>
        <w:spacing w:before="0" w:after="80" w:line="300" w:lineRule="auto"/>
      </w:pPr>
      <w:r>
        <w:rPr>
          <w:rFonts w:ascii="Calibri" w:hAnsi="Calibri"/>
          <w:color w:val="000000"/>
          <w:sz w:val="22"/>
        </w:rPr>
        <w:t>Test whether restoring smooth-muscle contractility improves Aβ clearance without increasing rupture.</w:t>
      </w:r>
    </w:p>
    <w:p>
      <w:pPr>
        <w:numPr>
          <w:ilvl w:val="0"/>
          <w:numId w:val="10"/>
        </w:numPr>
        <w:spacing w:before="0" w:after="80" w:line="300" w:lineRule="auto"/>
      </w:pPr>
      <w:r>
        <w:rPr>
          <w:rFonts w:ascii="Calibri" w:hAnsi="Calibri"/>
          <w:color w:val="000000"/>
          <w:sz w:val="22"/>
        </w:rPr>
        <w:t>Perturb barrier pathways at defined CAA stages and measure both clearance and hemorrhage.</w:t>
      </w:r>
    </w:p>
    <w:p>
      <w:pPr>
        <w:numPr>
          <w:ilvl w:val="0"/>
          <w:numId w:val="10"/>
        </w:numPr>
        <w:spacing w:before="0" w:after="80" w:line="300" w:lineRule="auto"/>
      </w:pPr>
      <w:r>
        <w:rPr>
          <w:rFonts w:ascii="Calibri" w:hAnsi="Calibri"/>
          <w:color w:val="000000"/>
          <w:sz w:val="22"/>
        </w:rPr>
        <w:t>Compare immune-cell states during successful Aβ removal versus destructive remodeling.</w:t>
      </w:r>
    </w:p>
    <w:p>
      <w:pPr>
        <w:numPr>
          <w:ilvl w:val="0"/>
          <w:numId w:val="10"/>
        </w:numPr>
        <w:spacing w:before="0" w:after="80" w:line="300" w:lineRule="auto"/>
      </w:pPr>
      <w:r>
        <w:rPr>
          <w:rFonts w:ascii="Calibri" w:hAnsi="Calibri"/>
          <w:color w:val="000000"/>
          <w:sz w:val="22"/>
        </w:rPr>
        <w:t>Use human induced pluripotent stem cell vascular units with APOE and APP genotypes, while acknowledging the absence of aged 3D anatomy.</w:t>
      </w:r>
    </w:p>
    <w:p>
      <w:pPr>
        <w:numPr>
          <w:ilvl w:val="0"/>
          <w:numId w:val="10"/>
        </w:numPr>
        <w:spacing w:before="0" w:after="80" w:line="300" w:lineRule="auto"/>
      </w:pPr>
      <w:r>
        <w:rPr>
          <w:rFonts w:ascii="Calibri" w:hAnsi="Calibri"/>
          <w:color w:val="000000"/>
          <w:sz w:val="22"/>
        </w:rPr>
        <w:t>Validate model findings in spatial human pathology before calling them therapeutic targets.</w:t>
      </w:r>
    </w:p>
    <w:p>
      <w:bookmarkStart w:id="85" w:name="section_076"/>
      <w:pPr>
        <w:pStyle w:val="Heading2"/>
      </w:pPr>
      <w:r>
        <w:t>6. Measurement priorities</w:t>
      </w:r>
      <w:bookmarkEnd w:id="85"/>
    </w:p>
    <w:p>
      <w:pPr>
        <w:keepNext/>
        <w:spacing w:before="160" w:after="80"/>
      </w:pPr>
      <w:r>
        <w:rPr>
          <w:rFonts w:ascii="Calibri" w:hAnsi="Calibri"/>
          <w:b/>
          <w:color w:val="1F4D78"/>
          <w:sz w:val="22"/>
        </w:rPr>
        <w:t>Harmonization</w:t>
      </w:r>
    </w:p>
    <w:p>
      <w:pPr>
        <w:numPr>
          <w:ilvl w:val="0"/>
          <w:numId w:val="10"/>
        </w:numPr>
        <w:spacing w:before="0" w:after="80" w:line="300" w:lineRule="auto"/>
      </w:pPr>
      <w:r>
        <w:rPr>
          <w:rFonts w:ascii="Calibri" w:hAnsi="Calibri"/>
          <w:color w:val="000000"/>
          <w:sz w:val="22"/>
        </w:rPr>
        <w:t>minimum MRI sequences and metadata;</w:t>
      </w:r>
    </w:p>
    <w:p>
      <w:pPr>
        <w:numPr>
          <w:ilvl w:val="0"/>
          <w:numId w:val="10"/>
        </w:numPr>
        <w:spacing w:before="0" w:after="80" w:line="300" w:lineRule="auto"/>
      </w:pPr>
      <w:r>
        <w:rPr>
          <w:rFonts w:ascii="Calibri" w:hAnsi="Calibri"/>
          <w:color w:val="000000"/>
          <w:sz w:val="22"/>
        </w:rPr>
        <w:t>STRIVE-compliant definitions;</w:t>
      </w:r>
    </w:p>
    <w:p>
      <w:pPr>
        <w:numPr>
          <w:ilvl w:val="0"/>
          <w:numId w:val="10"/>
        </w:numPr>
        <w:spacing w:before="0" w:after="80" w:line="300" w:lineRule="auto"/>
      </w:pPr>
      <w:r>
        <w:rPr>
          <w:rFonts w:ascii="Calibri" w:hAnsi="Calibri"/>
          <w:color w:val="000000"/>
          <w:sz w:val="22"/>
        </w:rPr>
        <w:t>lesion-rating training sets with mimics;</w:t>
      </w:r>
    </w:p>
    <w:p>
      <w:pPr>
        <w:numPr>
          <w:ilvl w:val="0"/>
          <w:numId w:val="10"/>
        </w:numPr>
        <w:spacing w:before="0" w:after="80" w:line="300" w:lineRule="auto"/>
      </w:pPr>
      <w:r>
        <w:rPr>
          <w:rFonts w:ascii="Calibri" w:hAnsi="Calibri"/>
          <w:color w:val="000000"/>
          <w:sz w:val="22"/>
        </w:rPr>
        <w:t>common neuropathology blocks and vessel-size definitions;</w:t>
      </w:r>
    </w:p>
    <w:p>
      <w:pPr>
        <w:numPr>
          <w:ilvl w:val="0"/>
          <w:numId w:val="10"/>
        </w:numPr>
        <w:spacing w:before="0" w:after="80" w:line="300" w:lineRule="auto"/>
      </w:pPr>
      <w:r>
        <w:rPr>
          <w:rFonts w:ascii="Calibri" w:hAnsi="Calibri"/>
          <w:color w:val="000000"/>
          <w:sz w:val="22"/>
        </w:rPr>
        <w:t>shared stain and digital-pathology QC;</w:t>
      </w:r>
    </w:p>
    <w:p>
      <w:pPr>
        <w:numPr>
          <w:ilvl w:val="0"/>
          <w:numId w:val="10"/>
        </w:numPr>
        <w:spacing w:before="0" w:after="80" w:line="300" w:lineRule="auto"/>
      </w:pPr>
      <w:r>
        <w:rPr>
          <w:rFonts w:ascii="Calibri" w:hAnsi="Calibri"/>
          <w:color w:val="000000"/>
          <w:sz w:val="22"/>
        </w:rPr>
        <w:t>prospective recording of missingness and image failure.</w:t>
      </w:r>
    </w:p>
    <w:p>
      <w:pPr>
        <w:keepNext/>
        <w:spacing w:before="160" w:after="80"/>
      </w:pPr>
      <w:r>
        <w:rPr>
          <w:rFonts w:ascii="Calibri" w:hAnsi="Calibri"/>
          <w:b/>
          <w:color w:val="1F4D78"/>
          <w:sz w:val="22"/>
        </w:rPr>
        <w:t>Continuous measures with interpretable anchors</w:t>
      </w:r>
    </w:p>
    <w:p>
      <w:pPr>
        <w:spacing w:before="0" w:after="120" w:line="300" w:lineRule="auto"/>
      </w:pPr>
      <w:r>
        <w:rPr>
          <w:rFonts w:ascii="Calibri" w:hAnsi="Calibri"/>
          <w:color w:val="000000"/>
          <w:sz w:val="22"/>
        </w:rPr>
        <w:t>Retain lesion counts, volumes, spatial maps, and quantitative tissue measures rather than only ordinal categories. Use categories for clinical interpretability, not as the only stored data.</w:t>
      </w:r>
    </w:p>
    <w:p>
      <w:pPr>
        <w:keepNext/>
        <w:spacing w:before="160" w:after="80"/>
      </w:pPr>
      <w:r>
        <w:rPr>
          <w:rFonts w:ascii="Calibri" w:hAnsi="Calibri"/>
          <w:b/>
          <w:color w:val="1F4D78"/>
          <w:sz w:val="22"/>
        </w:rPr>
        <w:t>Negative controls</w:t>
      </w:r>
    </w:p>
    <w:p>
      <w:pPr>
        <w:numPr>
          <w:ilvl w:val="0"/>
          <w:numId w:val="10"/>
        </w:numPr>
        <w:spacing w:before="0" w:after="80" w:line="300" w:lineRule="auto"/>
      </w:pPr>
      <w:r>
        <w:rPr>
          <w:rFonts w:ascii="Calibri" w:hAnsi="Calibri"/>
          <w:color w:val="000000"/>
          <w:sz w:val="22"/>
        </w:rPr>
        <w:t>control brain regions not predicted by the mechanism;</w:t>
      </w:r>
    </w:p>
    <w:p>
      <w:pPr>
        <w:numPr>
          <w:ilvl w:val="0"/>
          <w:numId w:val="10"/>
        </w:numPr>
        <w:spacing w:before="0" w:after="80" w:line="300" w:lineRule="auto"/>
      </w:pPr>
      <w:r>
        <w:rPr>
          <w:rFonts w:ascii="Calibri" w:hAnsi="Calibri"/>
          <w:color w:val="000000"/>
          <w:sz w:val="22"/>
        </w:rPr>
        <w:t>imaging markers with similar technical behavior but different biology;</w:t>
      </w:r>
    </w:p>
    <w:p>
      <w:pPr>
        <w:numPr>
          <w:ilvl w:val="0"/>
          <w:numId w:val="10"/>
        </w:numPr>
        <w:spacing w:before="0" w:after="80" w:line="300" w:lineRule="auto"/>
      </w:pPr>
      <w:r>
        <w:rPr>
          <w:rFonts w:ascii="Calibri" w:hAnsi="Calibri"/>
          <w:color w:val="000000"/>
          <w:sz w:val="22"/>
        </w:rPr>
        <w:t>outcomes outside the proposed pathway;</w:t>
      </w:r>
    </w:p>
    <w:p>
      <w:pPr>
        <w:numPr>
          <w:ilvl w:val="0"/>
          <w:numId w:val="10"/>
        </w:numPr>
        <w:spacing w:before="0" w:after="80" w:line="300" w:lineRule="auto"/>
      </w:pPr>
      <w:r>
        <w:rPr>
          <w:rFonts w:ascii="Calibri" w:hAnsi="Calibri"/>
          <w:color w:val="000000"/>
          <w:sz w:val="22"/>
        </w:rPr>
        <w:t>non-CAA amyloid and non-amyloid cSVD comparator groups.</w:t>
      </w:r>
    </w:p>
    <w:p>
      <w:bookmarkStart w:id="86" w:name="section_077"/>
      <w:pPr>
        <w:pStyle w:val="Heading2"/>
      </w:pPr>
      <w:r>
        <w:t>7. Causal-inference discipline</w:t>
      </w:r>
      <w:bookmarkEnd w:id="86"/>
    </w:p>
    <w:p>
      <w:pPr>
        <w:spacing w:before="0" w:after="120" w:line="300" w:lineRule="auto"/>
      </w:pPr>
      <w:r>
        <w:rPr>
          <w:rFonts w:ascii="Calibri" w:hAnsi="Calibri"/>
          <w:color w:val="000000"/>
          <w:sz w:val="22"/>
        </w:rPr>
        <w:t>Before a mediation or causal model, draw the proposed graph. Include:</w:t>
      </w:r>
    </w:p>
    <w:p>
      <w:pPr>
        <w:numPr>
          <w:ilvl w:val="0"/>
          <w:numId w:val="10"/>
        </w:numPr>
        <w:spacing w:before="0" w:after="80" w:line="300" w:lineRule="auto"/>
      </w:pPr>
      <w:r>
        <w:rPr>
          <w:rFonts w:ascii="Calibri" w:hAnsi="Calibri"/>
          <w:color w:val="000000"/>
          <w:sz w:val="22"/>
        </w:rPr>
        <w:t>age and survival to imaging/autopsy;</w:t>
      </w:r>
    </w:p>
    <w:p>
      <w:pPr>
        <w:numPr>
          <w:ilvl w:val="0"/>
          <w:numId w:val="10"/>
        </w:numPr>
        <w:spacing w:before="0" w:after="80" w:line="300" w:lineRule="auto"/>
      </w:pPr>
      <w:r>
        <w:rPr>
          <w:rFonts w:ascii="Calibri" w:hAnsi="Calibri"/>
          <w:color w:val="000000"/>
          <w:sz w:val="22"/>
        </w:rPr>
        <w:t>hypertension, diabetes, kidney disease, smoking, and medications;</w:t>
      </w:r>
    </w:p>
    <w:p>
      <w:pPr>
        <w:numPr>
          <w:ilvl w:val="0"/>
          <w:numId w:val="10"/>
        </w:numPr>
        <w:spacing w:before="0" w:after="80" w:line="300" w:lineRule="auto"/>
      </w:pPr>
      <w:r>
        <w:rPr>
          <w:rFonts w:ascii="Calibri" w:hAnsi="Calibri"/>
          <w:color w:val="000000"/>
          <w:sz w:val="22"/>
        </w:rPr>
        <w:t>APOE/ancestry and socioeconomic exposures;</w:t>
      </w:r>
    </w:p>
    <w:p>
      <w:pPr>
        <w:numPr>
          <w:ilvl w:val="0"/>
          <w:numId w:val="10"/>
        </w:numPr>
        <w:spacing w:before="0" w:after="80" w:line="300" w:lineRule="auto"/>
      </w:pPr>
      <w:r>
        <w:rPr>
          <w:rFonts w:ascii="Calibri" w:hAnsi="Calibri"/>
          <w:color w:val="000000"/>
          <w:sz w:val="22"/>
        </w:rPr>
        <w:t>ADNC, LATE-NC, Lewy body disease, and macrovascular disease;</w:t>
      </w:r>
    </w:p>
    <w:p>
      <w:pPr>
        <w:numPr>
          <w:ilvl w:val="0"/>
          <w:numId w:val="10"/>
        </w:numPr>
        <w:spacing w:before="0" w:after="80" w:line="300" w:lineRule="auto"/>
      </w:pPr>
      <w:r>
        <w:rPr>
          <w:rFonts w:ascii="Calibri" w:hAnsi="Calibri"/>
          <w:color w:val="000000"/>
          <w:sz w:val="22"/>
        </w:rPr>
        <w:t>scanner/sequence and segmentation quality;</w:t>
      </w:r>
    </w:p>
    <w:p>
      <w:pPr>
        <w:numPr>
          <w:ilvl w:val="0"/>
          <w:numId w:val="10"/>
        </w:numPr>
        <w:spacing w:before="0" w:after="80" w:line="300" w:lineRule="auto"/>
      </w:pPr>
      <w:r>
        <w:rPr>
          <w:rFonts w:ascii="Calibri" w:hAnsi="Calibri"/>
          <w:color w:val="000000"/>
          <w:sz w:val="22"/>
        </w:rPr>
        <w:t>clinical referral and brain-donation selection;</w:t>
      </w:r>
    </w:p>
    <w:p>
      <w:pPr>
        <w:numPr>
          <w:ilvl w:val="0"/>
          <w:numId w:val="10"/>
        </w:numPr>
        <w:spacing w:before="0" w:after="80" w:line="300" w:lineRule="auto"/>
      </w:pPr>
      <w:r>
        <w:rPr>
          <w:rFonts w:ascii="Calibri" w:hAnsi="Calibri"/>
          <w:color w:val="000000"/>
          <w:sz w:val="22"/>
        </w:rPr>
        <w:t>time between imaging, symptoms, death, and tissue sampling.</w:t>
      </w:r>
    </w:p>
    <w:p>
      <w:pPr>
        <w:spacing w:before="0" w:after="120" w:line="300" w:lineRule="auto"/>
      </w:pPr>
      <w:r>
        <w:rPr>
          <w:rFonts w:ascii="Calibri" w:hAnsi="Calibri"/>
          <w:color w:val="000000"/>
          <w:sz w:val="22"/>
        </w:rPr>
        <w:t>Do not adjust automatically for downstream lesions or colliders. Report total and direct-effect estimands separately when appropriate.</w:t>
      </w:r>
    </w:p>
    <w:p>
      <w:bookmarkStart w:id="87" w:name="section_078"/>
      <w:pPr>
        <w:pStyle w:val="Heading2"/>
      </w:pPr>
      <w:r>
        <w:t>8. Data and software architecture for the future repository</w:t>
      </w:r>
      <w:bookmarkEnd w:id="87"/>
    </w:p>
    <w:p>
      <w:pPr>
        <w:keepNext/>
        <w:spacing w:before="160" w:after="80"/>
      </w:pPr>
      <w:r>
        <w:rPr>
          <w:rFonts w:ascii="Calibri" w:hAnsi="Calibri"/>
          <w:b/>
          <w:color w:val="1F4D78"/>
          <w:sz w:val="22"/>
        </w:rPr>
        <w:t>Public layer</w:t>
      </w:r>
    </w:p>
    <w:p>
      <w:pPr>
        <w:numPr>
          <w:ilvl w:val="0"/>
          <w:numId w:val="10"/>
        </w:numPr>
        <w:spacing w:before="0" w:after="80" w:line="300" w:lineRule="auto"/>
      </w:pPr>
      <w:r>
        <w:rPr>
          <w:rFonts w:ascii="Calibri" w:hAnsi="Calibri"/>
          <w:color w:val="000000"/>
          <w:sz w:val="22"/>
        </w:rPr>
        <w:t>Markdown concept pages and evidence maps;</w:t>
      </w:r>
    </w:p>
    <w:p>
      <w:pPr>
        <w:numPr>
          <w:ilvl w:val="0"/>
          <w:numId w:val="10"/>
        </w:numPr>
        <w:spacing w:before="0" w:after="80" w:line="300" w:lineRule="auto"/>
      </w:pPr>
      <w:r>
        <w:rPr>
          <w:rFonts w:ascii="Calibri" w:hAnsi="Calibri"/>
          <w:color w:val="000000"/>
          <w:sz w:val="22"/>
        </w:rPr>
        <w:t>citation metadata and lawful links;</w:t>
      </w:r>
    </w:p>
    <w:p>
      <w:pPr>
        <w:numPr>
          <w:ilvl w:val="0"/>
          <w:numId w:val="10"/>
        </w:numPr>
        <w:spacing w:before="0" w:after="80" w:line="300" w:lineRule="auto"/>
      </w:pPr>
      <w:r>
        <w:rPr>
          <w:rFonts w:ascii="Calibri" w:hAnsi="Calibri"/>
          <w:color w:val="000000"/>
          <w:sz w:val="22"/>
        </w:rPr>
        <w:t>deidentified aggregate examples or openly licensed images;</w:t>
      </w:r>
    </w:p>
    <w:p>
      <w:pPr>
        <w:numPr>
          <w:ilvl w:val="0"/>
          <w:numId w:val="10"/>
        </w:numPr>
        <w:spacing w:before="0" w:after="80" w:line="300" w:lineRule="auto"/>
      </w:pPr>
      <w:r>
        <w:rPr>
          <w:rFonts w:ascii="Calibri" w:hAnsi="Calibri"/>
          <w:color w:val="000000"/>
          <w:sz w:val="22"/>
        </w:rPr>
        <w:t>protocol checklists and tool records;</w:t>
      </w:r>
    </w:p>
    <w:p>
      <w:pPr>
        <w:numPr>
          <w:ilvl w:val="0"/>
          <w:numId w:val="10"/>
        </w:numPr>
        <w:spacing w:before="0" w:after="80" w:line="300" w:lineRule="auto"/>
      </w:pPr>
      <w:r>
        <w:rPr>
          <w:rFonts w:ascii="Calibri" w:hAnsi="Calibri"/>
          <w:color w:val="000000"/>
          <w:sz w:val="22"/>
        </w:rPr>
        <w:t>versioned code and synthetic test data.</w:t>
      </w:r>
    </w:p>
    <w:p>
      <w:pPr>
        <w:keepNext/>
        <w:spacing w:before="160" w:after="80"/>
      </w:pPr>
      <w:r>
        <w:rPr>
          <w:rFonts w:ascii="Calibri" w:hAnsi="Calibri"/>
          <w:b/>
          <w:color w:val="1F4D78"/>
          <w:sz w:val="22"/>
        </w:rPr>
        <w:t>Restricted layer</w:t>
      </w:r>
    </w:p>
    <w:p>
      <w:pPr>
        <w:numPr>
          <w:ilvl w:val="0"/>
          <w:numId w:val="10"/>
        </w:numPr>
        <w:spacing w:before="0" w:after="80" w:line="300" w:lineRule="auto"/>
      </w:pPr>
      <w:r>
        <w:rPr>
          <w:rFonts w:ascii="Calibri" w:hAnsi="Calibri"/>
          <w:color w:val="000000"/>
          <w:sz w:val="22"/>
        </w:rPr>
        <w:t>protected clinical data and identifiers;</w:t>
      </w:r>
    </w:p>
    <w:p>
      <w:pPr>
        <w:numPr>
          <w:ilvl w:val="0"/>
          <w:numId w:val="10"/>
        </w:numPr>
        <w:spacing w:before="0" w:after="80" w:line="300" w:lineRule="auto"/>
      </w:pPr>
      <w:r>
        <w:rPr>
          <w:rFonts w:ascii="Calibri" w:hAnsi="Calibri"/>
          <w:color w:val="000000"/>
          <w:sz w:val="22"/>
        </w:rPr>
        <w:t>original copyrighted PDFs without redistribution rights;</w:t>
      </w:r>
    </w:p>
    <w:p>
      <w:pPr>
        <w:numPr>
          <w:ilvl w:val="0"/>
          <w:numId w:val="10"/>
        </w:numPr>
        <w:spacing w:before="0" w:after="80" w:line="300" w:lineRule="auto"/>
      </w:pPr>
      <w:r>
        <w:rPr>
          <w:rFonts w:ascii="Calibri" w:hAnsi="Calibri"/>
          <w:color w:val="000000"/>
          <w:sz w:val="22"/>
        </w:rPr>
        <w:t>raw images and pathology slides under data-use agreements;</w:t>
      </w:r>
    </w:p>
    <w:p>
      <w:pPr>
        <w:numPr>
          <w:ilvl w:val="0"/>
          <w:numId w:val="10"/>
        </w:numPr>
        <w:spacing w:before="0" w:after="80" w:line="300" w:lineRule="auto"/>
      </w:pPr>
      <w:r>
        <w:rPr>
          <w:rFonts w:ascii="Calibri" w:hAnsi="Calibri"/>
          <w:color w:val="000000"/>
          <w:sz w:val="22"/>
        </w:rPr>
        <w:t>crosswalks and linkage keys.</w:t>
      </w:r>
    </w:p>
    <w:p>
      <w:pPr>
        <w:spacing w:before="0" w:after="120" w:line="300" w:lineRule="auto"/>
      </w:pPr>
      <w:r>
        <w:rPr>
          <w:rFonts w:ascii="Calibri" w:hAnsi="Calibri"/>
          <w:color w:val="000000"/>
          <w:sz w:val="22"/>
        </w:rPr>
        <w:t>Never make the public website depend on access to the restricted layer. Generate public aggregate outputs through a documented release process.</w:t>
      </w:r>
    </w:p>
    <w:p>
      <w:bookmarkStart w:id="88" w:name="section_079"/>
      <w:pPr>
        <w:pStyle w:val="Heading2"/>
      </w:pPr>
      <w:r>
        <w:t>9. Proposed website information architecture</w:t>
      </w:r>
      <w:bookmarkEnd w:id="88"/>
    </w:p>
    <w:p>
      <w:pPr>
        <w:spacing w:before="0" w:after="120" w:line="300" w:lineRule="auto"/>
      </w:pPr>
      <w:r>
        <w:rPr>
          <w:rFonts w:ascii="Calibri" w:hAnsi="Calibri"/>
          <w:color w:val="000000"/>
          <w:sz w:val="22"/>
        </w:rPr>
        <w:t xml:space="preserve">The future site should have four linked entry routes: </w:t>
      </w:r>
      <w:r>
        <w:rPr>
          <w:rFonts w:ascii="Calibri" w:hAnsi="Calibri"/>
          <w:b/>
          <w:color w:val="000000"/>
          <w:sz w:val="22"/>
        </w:rPr>
        <w:t>Foundations</w:t>
      </w:r>
      <w:r>
        <w:rPr>
          <w:rFonts w:ascii="Calibri" w:hAnsi="Calibri"/>
          <w:color w:val="000000"/>
          <w:sz w:val="22"/>
        </w:rPr>
        <w:t xml:space="preserve"> (anatomy, physiology, and STRIVE imaging markers); </w:t>
      </w:r>
      <w:r>
        <w:rPr>
          <w:rFonts w:ascii="Calibri" w:hAnsi="Calibri"/>
          <w:b/>
          <w:color w:val="000000"/>
          <w:sz w:val="22"/>
        </w:rPr>
        <w:t>Diseases</w:t>
      </w:r>
      <w:r>
        <w:rPr>
          <w:rFonts w:ascii="Calibri" w:hAnsi="Calibri"/>
          <w:color w:val="000000"/>
          <w:sz w:val="22"/>
        </w:rPr>
        <w:t xml:space="preserve"> (CAA, arteriolosclerosis, and other cSVDs); </w:t>
      </w:r>
      <w:r>
        <w:rPr>
          <w:rFonts w:ascii="Calibri" w:hAnsi="Calibri"/>
          <w:b/>
          <w:color w:val="000000"/>
          <w:sz w:val="22"/>
        </w:rPr>
        <w:t>Research reasoning</w:t>
      </w:r>
      <w:r>
        <w:rPr>
          <w:rFonts w:ascii="Calibri" w:hAnsi="Calibri"/>
          <w:color w:val="000000"/>
          <w:sz w:val="22"/>
        </w:rPr>
        <w:t xml:space="preserve"> (criteria, phenotypes, debates, hypotheses, methods, and tools); and an </w:t>
      </w:r>
      <w:r>
        <w:rPr>
          <w:rFonts w:ascii="Calibri" w:hAnsi="Calibri"/>
          <w:b/>
          <w:color w:val="000000"/>
          <w:sz w:val="22"/>
        </w:rPr>
        <w:t>Evidence library</w:t>
      </w:r>
      <w:r>
        <w:rPr>
          <w:rFonts w:ascii="Calibri" w:hAnsi="Calibri"/>
          <w:color w:val="000000"/>
          <w:sz w:val="22"/>
        </w:rPr>
        <w:t xml:space="preserve"> (papers, claims, cohorts, datasets, and protocols).</w:t>
      </w:r>
    </w:p>
    <w:p>
      <w:pPr>
        <w:spacing w:before="0" w:after="120" w:line="300" w:lineRule="auto"/>
      </w:pPr>
      <w:r>
        <w:rPr>
          <w:rFonts w:ascii="Calibri" w:hAnsi="Calibri"/>
          <w:color w:val="000000"/>
          <w:sz w:val="22"/>
        </w:rPr>
        <w:t>Each hypothesis page should display supporting, constraining, and null evidence side by side. Each criterion page should show intended population, required inputs, reference standard, performance, exclusions, and common misuses.</w:t>
      </w:r>
    </w:p>
    <w:p>
      <w:bookmarkStart w:id="89" w:name="section_080"/>
      <w:pPr>
        <w:pStyle w:val="Heading2"/>
      </w:pPr>
      <w:r>
        <w:t>10. Definition of success</w:t>
      </w:r>
      <w:bookmarkEnd w:id="89"/>
    </w:p>
    <w:p>
      <w:pPr>
        <w:spacing w:before="0" w:after="120" w:line="300" w:lineRule="auto"/>
      </w:pPr>
      <w:r>
        <w:rPr>
          <w:rFonts w:ascii="Calibri" w:hAnsi="Calibri"/>
          <w:color w:val="000000"/>
          <w:sz w:val="22"/>
        </w:rPr>
        <w:t>This knowledge base succeeds if a reader can:</w:t>
      </w:r>
    </w:p>
    <w:p>
      <w:pPr>
        <w:numPr>
          <w:ilvl w:val="0"/>
          <w:numId w:val="10"/>
        </w:numPr>
        <w:spacing w:before="0" w:after="80" w:line="300" w:lineRule="auto"/>
      </w:pPr>
      <w:r>
        <w:rPr>
          <w:rFonts w:ascii="Calibri" w:hAnsi="Calibri"/>
          <w:color w:val="000000"/>
          <w:sz w:val="22"/>
        </w:rPr>
        <w:t>explain why imaging phenotype and vessel pathology are different layers;</w:t>
      </w:r>
    </w:p>
    <w:p>
      <w:pPr>
        <w:numPr>
          <w:ilvl w:val="0"/>
          <w:numId w:val="10"/>
        </w:numPr>
        <w:spacing w:before="0" w:after="80" w:line="300" w:lineRule="auto"/>
      </w:pPr>
      <w:r>
        <w:rPr>
          <w:rFonts w:ascii="Calibri" w:hAnsi="Calibri"/>
          <w:color w:val="000000"/>
          <w:sz w:val="22"/>
        </w:rPr>
        <w:t>apply and critique Boston/Edinburgh/STRIVE concepts correctly;</w:t>
      </w:r>
    </w:p>
    <w:p>
      <w:pPr>
        <w:numPr>
          <w:ilvl w:val="0"/>
          <w:numId w:val="10"/>
        </w:numPr>
        <w:spacing w:before="0" w:after="80" w:line="300" w:lineRule="auto"/>
      </w:pPr>
      <w:r>
        <w:rPr>
          <w:rFonts w:ascii="Calibri" w:hAnsi="Calibri"/>
          <w:color w:val="000000"/>
          <w:sz w:val="22"/>
        </w:rPr>
        <w:t>state what ARTS measures and what remains unvalidated;</w:t>
      </w:r>
    </w:p>
    <w:p>
      <w:pPr>
        <w:numPr>
          <w:ilvl w:val="0"/>
          <w:numId w:val="10"/>
        </w:numPr>
        <w:spacing w:before="0" w:after="80" w:line="300" w:lineRule="auto"/>
      </w:pPr>
      <w:r>
        <w:rPr>
          <w:rFonts w:ascii="Calibri" w:hAnsi="Calibri"/>
          <w:color w:val="000000"/>
          <w:sz w:val="22"/>
        </w:rPr>
        <w:t>describe competing clearance, barrier, inflammatory, and vascular-function hypotheses;</w:t>
      </w:r>
    </w:p>
    <w:p>
      <w:pPr>
        <w:numPr>
          <w:ilvl w:val="0"/>
          <w:numId w:val="10"/>
        </w:numPr>
        <w:spacing w:before="0" w:after="80" w:line="300" w:lineRule="auto"/>
      </w:pPr>
      <w:r>
        <w:rPr>
          <w:rFonts w:ascii="Calibri" w:hAnsi="Calibri"/>
          <w:color w:val="000000"/>
          <w:sz w:val="22"/>
        </w:rPr>
        <w:t>identify mixed pathology and spectrum bias in a paper;</w:t>
      </w:r>
    </w:p>
    <w:p>
      <w:pPr>
        <w:numPr>
          <w:ilvl w:val="0"/>
          <w:numId w:val="10"/>
        </w:numPr>
        <w:spacing w:before="0" w:after="80" w:line="300" w:lineRule="auto"/>
      </w:pPr>
      <w:r>
        <w:rPr>
          <w:rFonts w:ascii="Calibri" w:hAnsi="Calibri"/>
          <w:color w:val="000000"/>
          <w:sz w:val="22"/>
        </w:rPr>
        <w:t>turn a broad claim into a discriminating, spatially and temporally explicit study.</w:t>
      </w:r>
    </w:p>
    <w:p>
      <w:pPr>
        <w:keepNext/>
        <w:spacing w:before="160" w:after="60"/>
        <w:jc w:val="center"/>
      </w:pPr>
      <w:r>
        <w:drawing>
          <wp:inline xmlns:a="http://schemas.openxmlformats.org/drawingml/2006/main" xmlns:pic="http://schemas.openxmlformats.org/drawingml/2006/picture">
            <wp:extent cx="5715000" cy="3214688"/>
            <wp:docPr id="8" name="Picture 8" descr="Causal diagram showing shared causes, CAA, arteriolosclerosis, ADNC/LATE-NC, and cognitive or stroke outcomes." title="Causal diagram showing shared causes, CAA, arteriolosclerosis, ADNC/LATE-NC, and cognitive or stroke outcomes"/>
            <wp:cNvGraphicFramePr>
              <a:graphicFrameLocks noChangeAspect="1"/>
            </wp:cNvGraphicFramePr>
            <a:graphic>
              <a:graphicData uri="http://schemas.openxmlformats.org/drawingml/2006/picture">
                <pic:pic>
                  <pic:nvPicPr>
                    <pic:cNvPr id="0" name="figure_06_mixed_pathology.png"/>
                    <pic:cNvPicPr/>
                  </pic:nvPicPr>
                  <pic:blipFill>
                    <a:blip r:embed="rId39"/>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8. </w:t>
      </w:r>
      <w:r>
        <w:rPr>
          <w:rFonts w:ascii="Calibri" w:hAnsi="Calibri"/>
          <w:i/>
          <w:color w:val="5A626C"/>
          <w:sz w:val="19"/>
        </w:rPr>
        <w:t>Causal diagram showing shared causes, CAA, arteriolosclerosis, ADNC/LATE-NC, and cognitive or stroke outcomes.</w:t>
      </w:r>
    </w:p>
    <w:p>
      <w:bookmarkStart w:id="90" w:name="section_081"/>
      <w:pPr>
        <w:pStyle w:val="Heading1"/>
      </w:pPr>
      <w:r>
        <w:t>From Reading Archive to Research Program</w:t>
      </w:r>
      <w:bookmarkEnd w:id="90"/>
      <w:r>
        <w:rPr>
          <w:rFonts w:ascii="Calibri" w:hAnsi="Calibri"/>
          <w:color w:val="000000"/>
          <w:sz w:val="16"/>
        </w:rPr>
        <w:t xml:space="preserve">   </w:t>
      </w:r>
      <w:hyperlink w:anchor="Contents">
        <w:r>
          <w:rPr>
            <w:color w:val="2E74B5"/>
            <w:u w:val="single"/>
            <w:sz w:val="16"/>
          </w:rPr>
          <w:t>Back to contents</w:t>
        </w:r>
      </w:hyperlink>
    </w:p>
    <w:p>
      <w:bookmarkStart w:id="91" w:name="section_082"/>
      <w:pPr>
        <w:pStyle w:val="Heading2"/>
      </w:pPr>
      <w:r>
        <w:t>The archive should expose uncertainty, not merely summarize consensus</w:t>
      </w:r>
      <w:bookmarkEnd w:id="91"/>
    </w:p>
    <w:p>
      <w:pPr>
        <w:spacing w:before="0" w:after="120" w:line="300" w:lineRule="auto"/>
      </w:pPr>
      <w:r>
        <w:rPr>
          <w:rFonts w:ascii="Calibri" w:hAnsi="Calibri"/>
          <w:color w:val="000000"/>
          <w:sz w:val="22"/>
        </w:rPr>
        <w:t>A useful research knowledge base must help the reader discover where apparently compatible statements actually depend on different populations, measurements, or causal models. Its unit of work is therefore the claim, not the paper.</w:t>
      </w:r>
    </w:p>
    <w:p>
      <w:pPr>
        <w:spacing w:before="0" w:after="120" w:line="300" w:lineRule="auto"/>
      </w:pPr>
      <w:r>
        <w:rPr>
          <w:rFonts w:ascii="Calibri" w:hAnsi="Calibri"/>
          <w:color w:val="000000"/>
          <w:sz w:val="22"/>
        </w:rPr>
        <w:t>For each claim, this release records the supported interpretation, what is not established, evidence that supports or challenges it, a provisional appraisal, and the observation most likely to change confidence. This prevents review papers from silently accumulating authority and prevents negative evidence from disappearing.</w:t>
      </w:r>
    </w:p>
    <w:p>
      <w:bookmarkStart w:id="92" w:name="section_083"/>
      <w:pPr>
        <w:pStyle w:val="Heading2"/>
      </w:pPr>
      <w:r>
        <w:t>Highest-value unresolved problems</w:t>
      </w:r>
      <w:bookmarkEnd w:id="92"/>
    </w:p>
    <w:p>
      <w:pPr>
        <w:keepNext/>
        <w:spacing w:before="160" w:after="80"/>
      </w:pPr>
      <w:r>
        <w:rPr>
          <w:rFonts w:ascii="Calibri" w:hAnsi="Calibri"/>
          <w:b/>
          <w:color w:val="1F4D78"/>
          <w:sz w:val="22"/>
        </w:rPr>
        <w:t>Antemortem identification of arteriolosclerosis</w:t>
      </w:r>
    </w:p>
    <w:p>
      <w:pPr>
        <w:spacing w:before="0" w:after="120" w:line="300" w:lineRule="auto"/>
      </w:pPr>
      <w:r>
        <w:rPr>
          <w:rFonts w:ascii="Calibri" w:hAnsi="Calibri"/>
          <w:color w:val="000000"/>
          <w:sz w:val="22"/>
        </w:rPr>
        <w:t>Arteriolosclerosis lacks a broadly accepted in vivo diagnostic framework comparable to Boston criteria. ARTS is an important pathology-linked beginning, but transportability, calibration, fairness, lesion-level interpretation, and treatment sensitivity remain open. A next-generation model should combine continuous lesion location, diffusion, vascular physiology, clinical exposures, and acquisition metadata, while keeping a locked external pathology cohort untouched until the analysis plan is frozen.</w:t>
      </w:r>
    </w:p>
    <w:p>
      <w:pPr>
        <w:keepNext/>
        <w:spacing w:before="160" w:after="80"/>
      </w:pPr>
      <w:r>
        <w:rPr>
          <w:rFonts w:ascii="Calibri" w:hAnsi="Calibri"/>
          <w:b/>
          <w:color w:val="1F4D78"/>
          <w:sz w:val="22"/>
        </w:rPr>
        <w:t>Specificity of lobar microbleeds</w:t>
      </w:r>
    </w:p>
    <w:p>
      <w:pPr>
        <w:spacing w:before="0" w:after="120" w:line="300" w:lineRule="auto"/>
      </w:pPr>
      <w:r>
        <w:rPr>
          <w:rFonts w:ascii="Calibri" w:hAnsi="Calibri"/>
          <w:color w:val="000000"/>
          <w:sz w:val="22"/>
        </w:rPr>
        <w:t>The field needs lesion-level rather than only person-level validation. Each candidate CMB should be localized relative to cortical ribbon, juxtacortical white matter, sulci, veins, and vessels, then matched to serial histopathology. The decisive result is not merely another association between “lobar CMB count” and CAA grade; it is a map of which lesion morphologies and compartments arise from which vessel lesions.</w:t>
      </w:r>
    </w:p>
    <w:p>
      <w:pPr>
        <w:keepNext/>
        <w:spacing w:before="160" w:after="80"/>
      </w:pPr>
      <w:r>
        <w:rPr>
          <w:rFonts w:ascii="Calibri" w:hAnsi="Calibri"/>
          <w:b/>
          <w:color w:val="1F4D78"/>
          <w:sz w:val="22"/>
        </w:rPr>
        <w:t>Prehemorrhagic CAA</w:t>
      </w:r>
    </w:p>
    <w:p>
      <w:pPr>
        <w:spacing w:before="0" w:after="120" w:line="300" w:lineRule="auto"/>
      </w:pPr>
      <w:r>
        <w:rPr>
          <w:rFonts w:ascii="Calibri" w:hAnsi="Calibri"/>
          <w:color w:val="000000"/>
          <w:sz w:val="22"/>
        </w:rPr>
        <w:t>Criteria work best when hemorrhagic markers are already present. Preclinical diagnosis will require a different target: vessel dysfunction or molecular change before blood products appear. Longitudinal vascular reactivity, permeability, perfusion, diffusion, PVS, PET, and fluid measures should be evaluated for temporal ordering, not just cross-sectional group differences.</w:t>
      </w:r>
    </w:p>
    <w:p>
      <w:pPr>
        <w:keepNext/>
        <w:spacing w:before="160" w:after="80"/>
      </w:pPr>
      <w:r>
        <w:rPr>
          <w:rFonts w:ascii="Calibri" w:hAnsi="Calibri"/>
          <w:b/>
          <w:color w:val="1F4D78"/>
          <w:sz w:val="22"/>
        </w:rPr>
        <w:t>Mixed pathology and cognition</w:t>
      </w:r>
    </w:p>
    <w:p>
      <w:pPr>
        <w:spacing w:before="0" w:after="120" w:line="300" w:lineRule="auto"/>
      </w:pPr>
      <w:r>
        <w:rPr>
          <w:rFonts w:ascii="Calibri" w:hAnsi="Calibri"/>
          <w:color w:val="000000"/>
          <w:sz w:val="22"/>
        </w:rPr>
        <w:t>CAA, arteriolosclerosis, ADNC, LATE-NC, atherosclerosis, infarcts, and neurodegeneration commonly coexist. Standard regression adjustment can fail when variables are measured with different error, lie on causal pathways, or interact. Research should report total, direct, mediated, and interactive effects where assumptions permit, accompanied by causal diagrams and sensitivity analyses rather than a single “independent association.”</w:t>
      </w:r>
    </w:p>
    <w:p>
      <w:pPr>
        <w:keepNext/>
        <w:spacing w:before="160" w:after="80"/>
      </w:pPr>
      <w:r>
        <w:rPr>
          <w:rFonts w:ascii="Calibri" w:hAnsi="Calibri"/>
          <w:b/>
          <w:color w:val="1F4D78"/>
          <w:sz w:val="22"/>
        </w:rPr>
        <w:t>Pathology as an imperfect reference</w:t>
      </w:r>
    </w:p>
    <w:p>
      <w:pPr>
        <w:spacing w:before="0" w:after="120" w:line="300" w:lineRule="auto"/>
      </w:pPr>
      <w:r>
        <w:rPr>
          <w:rFonts w:ascii="Calibri" w:hAnsi="Calibri"/>
          <w:color w:val="000000"/>
          <w:sz w:val="22"/>
        </w:rPr>
        <w:t>Autopsy is the best available etiologic reference but is not error-free. Disease is patchy, tissue sampling is incomplete, routine grades vary, and MRI may precede death by years. Whole-hemisphere ex vivo MRI, spatially registered blocks, digital vessel quantification, and consensus regional sampling can reduce—but not eliminate—reference error.</w:t>
      </w:r>
    </w:p>
    <w:p>
      <w:bookmarkStart w:id="93" w:name="section_084"/>
      <w:pPr>
        <w:pStyle w:val="Heading2"/>
      </w:pPr>
      <w:r>
        <w:t>A decisive study design for candidate arteriolosclerosis criteria</w:t>
      </w:r>
      <w:bookmarkEnd w:id="93"/>
    </w:p>
    <w:p>
      <w:pPr>
        <w:numPr>
          <w:ilvl w:val="0"/>
          <w:numId w:val="20"/>
        </w:numPr>
        <w:spacing w:before="0" w:after="80" w:line="300" w:lineRule="auto"/>
      </w:pPr>
      <w:r>
        <w:rPr>
          <w:rFonts w:ascii="Calibri" w:hAnsi="Calibri"/>
          <w:color w:val="000000"/>
          <w:sz w:val="22"/>
        </w:rPr>
        <w:t>Define the target condition and severity scale before examining imaging associations.</w:t>
      </w:r>
    </w:p>
    <w:p>
      <w:pPr>
        <w:numPr>
          <w:ilvl w:val="0"/>
          <w:numId w:val="20"/>
        </w:numPr>
        <w:spacing w:before="0" w:after="80" w:line="300" w:lineRule="auto"/>
      </w:pPr>
      <w:r>
        <w:rPr>
          <w:rFonts w:ascii="Calibri" w:hAnsi="Calibri"/>
          <w:color w:val="000000"/>
          <w:sz w:val="22"/>
        </w:rPr>
        <w:t>Use multiregion, blinded pathology with explicit CAA, ADNC, LATE-NC, infarct, and atherosclerosis measurement.</w:t>
      </w:r>
    </w:p>
    <w:p>
      <w:pPr>
        <w:numPr>
          <w:ilvl w:val="0"/>
          <w:numId w:val="20"/>
        </w:numPr>
        <w:spacing w:before="0" w:after="80" w:line="300" w:lineRule="auto"/>
      </w:pPr>
      <w:r>
        <w:rPr>
          <w:rFonts w:ascii="Calibri" w:hAnsi="Calibri"/>
          <w:color w:val="000000"/>
          <w:sz w:val="22"/>
        </w:rPr>
        <w:t>Predefine the eligible MRI-to-death interval and model interval continuously.</w:t>
      </w:r>
    </w:p>
    <w:p>
      <w:pPr>
        <w:numPr>
          <w:ilvl w:val="0"/>
          <w:numId w:val="20"/>
        </w:numPr>
        <w:spacing w:before="0" w:after="80" w:line="300" w:lineRule="auto"/>
      </w:pPr>
      <w:r>
        <w:rPr>
          <w:rFonts w:ascii="Calibri" w:hAnsi="Calibri"/>
          <w:color w:val="000000"/>
          <w:sz w:val="22"/>
        </w:rPr>
        <w:t>Require and record sequence availability, field strength, resolution, and susceptibility technique.</w:t>
      </w:r>
    </w:p>
    <w:p>
      <w:pPr>
        <w:numPr>
          <w:ilvl w:val="0"/>
          <w:numId w:val="20"/>
        </w:numPr>
        <w:spacing w:before="0" w:after="80" w:line="300" w:lineRule="auto"/>
      </w:pPr>
      <w:r>
        <w:rPr>
          <w:rFonts w:ascii="Calibri" w:hAnsi="Calibri"/>
          <w:color w:val="000000"/>
          <w:sz w:val="22"/>
        </w:rPr>
        <w:t>Rate images blinded to pathology and pathology blinded to images.</w:t>
      </w:r>
    </w:p>
    <w:p>
      <w:pPr>
        <w:numPr>
          <w:ilvl w:val="0"/>
          <w:numId w:val="20"/>
        </w:numPr>
        <w:spacing w:before="0" w:after="80" w:line="300" w:lineRule="auto"/>
      </w:pPr>
      <w:r>
        <w:rPr>
          <w:rFonts w:ascii="Calibri" w:hAnsi="Calibri"/>
          <w:color w:val="000000"/>
          <w:sz w:val="22"/>
        </w:rPr>
        <w:t>Develop features only in a training cohort.</w:t>
      </w:r>
    </w:p>
    <w:p>
      <w:pPr>
        <w:numPr>
          <w:ilvl w:val="0"/>
          <w:numId w:val="20"/>
        </w:numPr>
        <w:spacing w:before="0" w:after="80" w:line="300" w:lineRule="auto"/>
      </w:pPr>
      <w:r>
        <w:rPr>
          <w:rFonts w:ascii="Calibri" w:hAnsi="Calibri"/>
          <w:color w:val="000000"/>
          <w:sz w:val="22"/>
        </w:rPr>
        <w:t>Freeze preprocessing, features, thresholds, and missing-data handling.</w:t>
      </w:r>
    </w:p>
    <w:p>
      <w:pPr>
        <w:numPr>
          <w:ilvl w:val="0"/>
          <w:numId w:val="20"/>
        </w:numPr>
        <w:spacing w:before="0" w:after="80" w:line="300" w:lineRule="auto"/>
      </w:pPr>
      <w:r>
        <w:rPr>
          <w:rFonts w:ascii="Calibri" w:hAnsi="Calibri"/>
          <w:color w:val="000000"/>
          <w:sz w:val="22"/>
        </w:rPr>
        <w:t>Evaluate discrimination, calibration, clinical utility, and subgroup performance in a locked external cohort.</w:t>
      </w:r>
    </w:p>
    <w:p>
      <w:pPr>
        <w:numPr>
          <w:ilvl w:val="0"/>
          <w:numId w:val="20"/>
        </w:numPr>
        <w:spacing w:before="0" w:after="80" w:line="300" w:lineRule="auto"/>
      </w:pPr>
      <w:r>
        <w:rPr>
          <w:rFonts w:ascii="Calibri" w:hAnsi="Calibri"/>
          <w:color w:val="000000"/>
          <w:sz w:val="22"/>
        </w:rPr>
        <w:t>Perform lesion-level spatial validation for the features claiming etiologic specificity.</w:t>
      </w:r>
    </w:p>
    <w:p>
      <w:pPr>
        <w:numPr>
          <w:ilvl w:val="0"/>
          <w:numId w:val="20"/>
        </w:numPr>
        <w:spacing w:before="0" w:after="80" w:line="300" w:lineRule="auto"/>
      </w:pPr>
      <w:r>
        <w:rPr>
          <w:rFonts w:ascii="Calibri" w:hAnsi="Calibri"/>
          <w:color w:val="000000"/>
          <w:sz w:val="22"/>
        </w:rPr>
        <w:t>Publish the full protocol, data dictionary, failure cases, container version, and negative analyses.</w:t>
      </w:r>
    </w:p>
    <w:p>
      <w:bookmarkStart w:id="94" w:name="section_085"/>
      <w:pPr>
        <w:pStyle w:val="Heading2"/>
      </w:pPr>
      <w:r>
        <w:t>Evidence milestones for the next release</w:t>
      </w:r>
      <w:bookmarkEnd w:id="94"/>
    </w:p>
    <w:p>
      <w:pPr>
        <w:numPr>
          <w:ilvl w:val="0"/>
          <w:numId w:val="10"/>
        </w:numPr>
        <w:spacing w:before="0" w:after="80" w:line="300" w:lineRule="auto"/>
      </w:pPr>
      <w:r>
        <w:rPr>
          <w:rFonts w:ascii="Calibri" w:hAnsi="Calibri"/>
          <w:color w:val="000000"/>
          <w:sz w:val="22"/>
        </w:rPr>
        <w:t>Complete full-text extraction for every essential source.</w:t>
      </w:r>
    </w:p>
    <w:p>
      <w:pPr>
        <w:numPr>
          <w:ilvl w:val="0"/>
          <w:numId w:val="10"/>
        </w:numPr>
        <w:spacing w:before="0" w:after="80" w:line="300" w:lineRule="auto"/>
      </w:pPr>
      <w:r>
        <w:rPr>
          <w:rFonts w:ascii="Calibri" w:hAnsi="Calibri"/>
          <w:color w:val="000000"/>
          <w:sz w:val="22"/>
        </w:rPr>
        <w:t>Dual-review QUADAS-3 appraisal of Boston and Edinburgh validation studies.</w:t>
      </w:r>
    </w:p>
    <w:p>
      <w:pPr>
        <w:numPr>
          <w:ilvl w:val="0"/>
          <w:numId w:val="10"/>
        </w:numPr>
        <w:spacing w:before="0" w:after="80" w:line="300" w:lineRule="auto"/>
      </w:pPr>
      <w:r>
        <w:rPr>
          <w:rFonts w:ascii="Calibri" w:hAnsi="Calibri"/>
          <w:color w:val="000000"/>
          <w:sz w:val="22"/>
        </w:rPr>
        <w:t>Dual-review PROBAST appraisal of ARTS development and validation reports.</w:t>
      </w:r>
    </w:p>
    <w:p>
      <w:pPr>
        <w:numPr>
          <w:ilvl w:val="0"/>
          <w:numId w:val="10"/>
        </w:numPr>
        <w:spacing w:before="0" w:after="80" w:line="300" w:lineRule="auto"/>
      </w:pPr>
      <w:r>
        <w:rPr>
          <w:rFonts w:ascii="Calibri" w:hAnsi="Calibri"/>
          <w:color w:val="000000"/>
          <w:sz w:val="22"/>
        </w:rPr>
        <w:t>Create at least 100 result-level evidence edges, with effect estimates and uncertainty when reported.</w:t>
      </w:r>
    </w:p>
    <w:p>
      <w:pPr>
        <w:numPr>
          <w:ilvl w:val="0"/>
          <w:numId w:val="10"/>
        </w:numPr>
        <w:spacing w:before="0" w:after="80" w:line="300" w:lineRule="auto"/>
      </w:pPr>
      <w:r>
        <w:rPr>
          <w:rFonts w:ascii="Calibri" w:hAnsi="Calibri"/>
          <w:color w:val="000000"/>
          <w:sz w:val="22"/>
        </w:rPr>
        <w:t>Add a contradiction ledger for every high-priority diagnostic and mechanistic claim.</w:t>
      </w:r>
    </w:p>
    <w:p>
      <w:pPr>
        <w:numPr>
          <w:ilvl w:val="0"/>
          <w:numId w:val="10"/>
        </w:numPr>
        <w:spacing w:before="0" w:after="80" w:line="300" w:lineRule="auto"/>
      </w:pPr>
      <w:r>
        <w:rPr>
          <w:rFonts w:ascii="Calibri" w:hAnsi="Calibri"/>
          <w:color w:val="000000"/>
          <w:sz w:val="22"/>
        </w:rPr>
        <w:t>Add prospective search alerts and retraction/correction checks.</w:t>
      </w:r>
    </w:p>
    <w:p>
      <w:pPr>
        <w:numPr>
          <w:ilvl w:val="0"/>
          <w:numId w:val="10"/>
        </w:numPr>
        <w:spacing w:before="0" w:after="80" w:line="300" w:lineRule="auto"/>
      </w:pPr>
      <w:r>
        <w:rPr>
          <w:rFonts w:ascii="Calibri" w:hAnsi="Calibri"/>
          <w:color w:val="000000"/>
          <w:sz w:val="22"/>
        </w:rPr>
        <w:t>Build the website only after the data schema survives the three pilot claim families: Boston transportability, lobar CMB specificity, and ARTS validation.</w:t>
      </w:r>
    </w:p>
    <w:p>
      <w:bookmarkStart w:id="95" w:name="section_086"/>
      <w:pPr>
        <w:pStyle w:val="Heading2"/>
      </w:pPr>
      <w:r>
        <w:t>Final research habit</w:t>
      </w:r>
      <w:bookmarkEnd w:id="95"/>
    </w:p>
    <w:p>
      <w:pPr>
        <w:spacing w:before="0" w:after="120" w:line="300" w:lineRule="auto"/>
      </w:pPr>
      <w:r>
        <w:rPr>
          <w:rFonts w:ascii="Calibri" w:hAnsi="Calibri"/>
          <w:color w:val="000000"/>
          <w:sz w:val="22"/>
        </w:rPr>
        <w:t>For every appealing hypothesis, write down the closest alternative explanation and the observation that would separate them. That habit—not the number of papers collected—is what turns the archive into a tool for connecting dots without inventing connections.</w:t>
      </w:r>
    </w:p>
    <w:p>
      <w:pPr>
        <w:keepNext/>
        <w:spacing w:before="160" w:after="60"/>
        <w:jc w:val="center"/>
      </w:pPr>
      <w:r>
        <w:drawing>
          <wp:inline xmlns:a="http://schemas.openxmlformats.org/drawingml/2006/main" xmlns:pic="http://schemas.openxmlformats.org/drawingml/2006/picture">
            <wp:extent cx="5715000" cy="3214688"/>
            <wp:docPr id="9" name="Picture 9" descr="Evidence graph connecting sources to study results, claim relationships, and synthesis judgments." title="Evidence graph connecting sources to study results, claim relationships, and synthesis judgments"/>
            <wp:cNvGraphicFramePr>
              <a:graphicFrameLocks noChangeAspect="1"/>
            </wp:cNvGraphicFramePr>
            <a:graphic>
              <a:graphicData uri="http://schemas.openxmlformats.org/drawingml/2006/picture">
                <pic:pic>
                  <pic:nvPicPr>
                    <pic:cNvPr id="0" name="figure_07_evidence_graph.png"/>
                    <pic:cNvPicPr/>
                  </pic:nvPicPr>
                  <pic:blipFill>
                    <a:blip r:embed="rId40"/>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9. </w:t>
      </w:r>
      <w:r>
        <w:rPr>
          <w:rFonts w:ascii="Calibri" w:hAnsi="Calibri"/>
          <w:i/>
          <w:color w:val="5A626C"/>
          <w:sz w:val="19"/>
        </w:rPr>
        <w:t>Evidence graph connecting sources to study results, claim relationships, and synthesis judgments.</w:t>
      </w:r>
    </w:p>
    <w:p>
      <w:bookmarkStart w:id="96" w:name="section_087"/>
      <w:pPr>
        <w:pStyle w:val="Heading1"/>
      </w:pPr>
      <w:r>
        <w:t>Evidence Completeness Map</w:t>
      </w:r>
      <w:bookmarkEnd w:id="96"/>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The atlas is organized around answerable questions. A topic is not considered complete merely because it has a review paragraph.</w:t>
      </w:r>
    </w:p>
    <w:p>
      <w:bookmarkStart w:id="97" w:name="section_088"/>
      <w:pPr>
        <w:pStyle w:val="Heading2"/>
      </w:pPr>
      <w:r>
        <w:t>Status vocabulary</w:t>
      </w:r>
      <w:bookmarkEnd w:id="97"/>
    </w:p>
    <w:p>
      <w:pPr>
        <w:numPr>
          <w:ilvl w:val="0"/>
          <w:numId w:val="10"/>
        </w:numPr>
        <w:spacing w:before="0" w:after="80" w:line="300" w:lineRule="auto"/>
      </w:pPr>
      <w:r>
        <w:rPr>
          <w:rFonts w:ascii="Calibri" w:hAnsi="Calibri"/>
          <w:b/>
          <w:color w:val="000000"/>
          <w:sz w:val="22"/>
        </w:rPr>
        <w:t>Bounded:</w:t>
      </w:r>
      <w:r>
        <w:rPr>
          <w:rFonts w:ascii="Calibri" w:hAnsi="Calibri"/>
          <w:color w:val="000000"/>
          <w:sz w:val="22"/>
        </w:rPr>
        <w:t xml:space="preserve"> a defensible answer exists within a clearly limited population or context.</w:t>
      </w:r>
    </w:p>
    <w:p>
      <w:pPr>
        <w:numPr>
          <w:ilvl w:val="0"/>
          <w:numId w:val="10"/>
        </w:numPr>
        <w:spacing w:before="0" w:after="80" w:line="300" w:lineRule="auto"/>
      </w:pPr>
      <w:r>
        <w:rPr>
          <w:rFonts w:ascii="Calibri" w:hAnsi="Calibri"/>
          <w:b/>
          <w:color w:val="000000"/>
          <w:sz w:val="22"/>
        </w:rPr>
        <w:t>Emerging:</w:t>
      </w:r>
      <w:r>
        <w:rPr>
          <w:rFonts w:ascii="Calibri" w:hAnsi="Calibri"/>
          <w:color w:val="000000"/>
          <w:sz w:val="22"/>
        </w:rPr>
        <w:t xml:space="preserve"> coherent evidence exists, but important validation or causal tests remain.</w:t>
      </w:r>
    </w:p>
    <w:p>
      <w:pPr>
        <w:numPr>
          <w:ilvl w:val="0"/>
          <w:numId w:val="10"/>
        </w:numPr>
        <w:spacing w:before="0" w:after="80" w:line="300" w:lineRule="auto"/>
      </w:pPr>
      <w:r>
        <w:rPr>
          <w:rFonts w:ascii="Calibri" w:hAnsi="Calibri"/>
          <w:b/>
          <w:color w:val="000000"/>
          <w:sz w:val="22"/>
        </w:rPr>
        <w:t>Critical gap:</w:t>
      </w:r>
      <w:r>
        <w:rPr>
          <w:rFonts w:ascii="Calibri" w:hAnsi="Calibri"/>
          <w:color w:val="000000"/>
          <w:sz w:val="22"/>
        </w:rPr>
        <w:t xml:space="preserve"> the question is central and current evidence cannot support a stable answer.</w:t>
      </w:r>
    </w:p>
    <w:p>
      <w:bookmarkStart w:id="98" w:name="section_089"/>
      <w:pPr>
        <w:pStyle w:val="Heading2"/>
      </w:pPr>
      <w:r>
        <w:t>Portfolio snapshot</w:t>
      </w:r>
      <w:bookmarkEnd w:id="98"/>
    </w:p>
    <w:p>
      <w:pPr>
        <w:numPr>
          <w:ilvl w:val="0"/>
          <w:numId w:val="10"/>
        </w:numPr>
        <w:spacing w:before="0" w:after="80" w:line="300" w:lineRule="auto"/>
      </w:pPr>
      <w:r>
        <w:rPr>
          <w:rFonts w:ascii="Calibri" w:hAnsi="Calibri"/>
          <w:b/>
          <w:color w:val="000000"/>
          <w:sz w:val="22"/>
        </w:rPr>
        <w:t>Bounded:</w:t>
      </w:r>
      <w:r>
        <w:rPr>
          <w:rFonts w:ascii="Calibri" w:hAnsi="Calibri"/>
          <w:color w:val="000000"/>
          <w:sz w:val="22"/>
        </w:rPr>
        <w:t xml:space="preserve"> 6 questions</w:t>
      </w:r>
    </w:p>
    <w:p>
      <w:pPr>
        <w:numPr>
          <w:ilvl w:val="0"/>
          <w:numId w:val="10"/>
        </w:numPr>
        <w:spacing w:before="0" w:after="80" w:line="300" w:lineRule="auto"/>
      </w:pPr>
      <w:r>
        <w:rPr>
          <w:rFonts w:ascii="Calibri" w:hAnsi="Calibri"/>
          <w:b/>
          <w:color w:val="000000"/>
          <w:sz w:val="22"/>
        </w:rPr>
        <w:t>Emerging:</w:t>
      </w:r>
      <w:r>
        <w:rPr>
          <w:rFonts w:ascii="Calibri" w:hAnsi="Calibri"/>
          <w:color w:val="000000"/>
          <w:sz w:val="22"/>
        </w:rPr>
        <w:t xml:space="preserve"> 14 questions</w:t>
      </w:r>
    </w:p>
    <w:p>
      <w:pPr>
        <w:numPr>
          <w:ilvl w:val="0"/>
          <w:numId w:val="10"/>
        </w:numPr>
        <w:spacing w:before="0" w:after="80" w:line="300" w:lineRule="auto"/>
      </w:pPr>
      <w:r>
        <w:rPr>
          <w:rFonts w:ascii="Calibri" w:hAnsi="Calibri"/>
          <w:b/>
          <w:color w:val="000000"/>
          <w:sz w:val="22"/>
        </w:rPr>
        <w:t>Critical Gap:</w:t>
      </w:r>
      <w:r>
        <w:rPr>
          <w:rFonts w:ascii="Calibri" w:hAnsi="Calibri"/>
          <w:color w:val="000000"/>
          <w:sz w:val="22"/>
        </w:rPr>
        <w:t xml:space="preserve"> 20 questions</w:t>
      </w:r>
    </w:p>
    <w:p>
      <w:bookmarkStart w:id="99" w:name="section_090"/>
      <w:pPr>
        <w:pStyle w:val="Heading2"/>
      </w:pPr>
      <w:r>
        <w:t>Domain map</w:t>
      </w:r>
      <w:bookmarkEnd w:id="99"/>
    </w:p>
    <w:p>
      <w:pPr>
        <w:keepNext/>
        <w:spacing w:before="160" w:after="80"/>
      </w:pPr>
      <w:r>
        <w:rPr>
          <w:rFonts w:ascii="Calibri" w:hAnsi="Calibri"/>
          <w:b/>
          <w:color w:val="1F4D78"/>
          <w:sz w:val="22"/>
        </w:rPr>
        <w:t>Aria</w:t>
      </w:r>
    </w:p>
    <w:p>
      <w:pPr>
        <w:numPr>
          <w:ilvl w:val="0"/>
          <w:numId w:val="10"/>
        </w:numPr>
        <w:spacing w:before="0" w:after="80" w:line="300" w:lineRule="auto"/>
      </w:pPr>
      <w:r>
        <w:rPr>
          <w:rFonts w:ascii="Calibri" w:hAnsi="Calibri"/>
          <w:b/>
          <w:color w:val="000000"/>
          <w:sz w:val="22"/>
        </w:rPr>
        <w:t>Q037 [critical gap]:</w:t>
      </w:r>
      <w:r>
        <w:rPr>
          <w:rFonts w:ascii="Calibri" w:hAnsi="Calibri"/>
          <w:color w:val="000000"/>
          <w:sz w:val="22"/>
        </w:rPr>
        <w:t xml:space="preserve"> Which baseline and dynamic markers predict symptomatic or severe ARIA?</w:t>
      </w:r>
    </w:p>
    <w:p>
      <w:pPr>
        <w:keepNext/>
        <w:spacing w:before="160" w:after="80"/>
      </w:pPr>
      <w:r>
        <w:rPr>
          <w:rFonts w:ascii="Calibri" w:hAnsi="Calibri"/>
          <w:b/>
          <w:color w:val="1F4D78"/>
          <w:sz w:val="22"/>
        </w:rPr>
        <w:t>Caa Diagnosis</w:t>
      </w:r>
    </w:p>
    <w:p>
      <w:pPr>
        <w:numPr>
          <w:ilvl w:val="0"/>
          <w:numId w:val="10"/>
        </w:numPr>
        <w:spacing w:before="0" w:after="80" w:line="300" w:lineRule="auto"/>
      </w:pPr>
      <w:r>
        <w:rPr>
          <w:rFonts w:ascii="Calibri" w:hAnsi="Calibri"/>
          <w:b/>
          <w:color w:val="000000"/>
          <w:sz w:val="22"/>
        </w:rPr>
        <w:t>Q005 [bounded]:</w:t>
      </w:r>
      <w:r>
        <w:rPr>
          <w:rFonts w:ascii="Calibri" w:hAnsi="Calibri"/>
          <w:color w:val="000000"/>
          <w:sz w:val="22"/>
        </w:rPr>
        <w:t xml:space="preserve"> How accurately does Boston v2.0 identify CAA in symptomatic referral populations?</w:t>
      </w:r>
    </w:p>
    <w:p>
      <w:pPr>
        <w:numPr>
          <w:ilvl w:val="0"/>
          <w:numId w:val="10"/>
        </w:numPr>
        <w:spacing w:before="0" w:after="80" w:line="300" w:lineRule="auto"/>
      </w:pPr>
      <w:r>
        <w:rPr>
          <w:rFonts w:ascii="Calibri" w:hAnsi="Calibri"/>
          <w:b/>
          <w:color w:val="000000"/>
          <w:sz w:val="22"/>
        </w:rPr>
        <w:t>Q006 [critical gap]:</w:t>
      </w:r>
      <w:r>
        <w:rPr>
          <w:rFonts w:ascii="Calibri" w:hAnsi="Calibri"/>
          <w:color w:val="000000"/>
          <w:sz w:val="22"/>
        </w:rPr>
        <w:t xml:space="preserve"> How accurately does Boston v2.0 perform in nonhemorrhagic cognitive presentations?</w:t>
      </w:r>
    </w:p>
    <w:p>
      <w:pPr>
        <w:numPr>
          <w:ilvl w:val="0"/>
          <w:numId w:val="10"/>
        </w:numPr>
        <w:spacing w:before="0" w:after="80" w:line="300" w:lineRule="auto"/>
      </w:pPr>
      <w:r>
        <w:rPr>
          <w:rFonts w:ascii="Calibri" w:hAnsi="Calibri"/>
          <w:b/>
          <w:color w:val="000000"/>
          <w:sz w:val="22"/>
        </w:rPr>
        <w:t>Q007 [critical gap]:</w:t>
      </w:r>
      <w:r>
        <w:rPr>
          <w:rFonts w:ascii="Calibri" w:hAnsi="Calibri"/>
          <w:color w:val="000000"/>
          <w:sz w:val="22"/>
        </w:rPr>
        <w:t xml:space="preserve"> Can Boston v2.0 be used for community screening?</w:t>
      </w:r>
    </w:p>
    <w:p>
      <w:pPr>
        <w:numPr>
          <w:ilvl w:val="0"/>
          <w:numId w:val="10"/>
        </w:numPr>
        <w:spacing w:before="0" w:after="80" w:line="300" w:lineRule="auto"/>
      </w:pPr>
      <w:r>
        <w:rPr>
          <w:rFonts w:ascii="Calibri" w:hAnsi="Calibri"/>
          <w:b/>
          <w:color w:val="000000"/>
          <w:sz w:val="22"/>
        </w:rPr>
        <w:t>Q008 [emerging]:</w:t>
      </w:r>
      <w:r>
        <w:rPr>
          <w:rFonts w:ascii="Calibri" w:hAnsi="Calibri"/>
          <w:color w:val="000000"/>
          <w:sz w:val="22"/>
        </w:rPr>
        <w:t xml:space="preserve"> Does cortical versus juxtacortical microbleed localization improve CAA specificity?</w:t>
      </w:r>
    </w:p>
    <w:p>
      <w:pPr>
        <w:numPr>
          <w:ilvl w:val="0"/>
          <w:numId w:val="10"/>
        </w:numPr>
        <w:spacing w:before="0" w:after="80" w:line="300" w:lineRule="auto"/>
      </w:pPr>
      <w:r>
        <w:rPr>
          <w:rFonts w:ascii="Calibri" w:hAnsi="Calibri"/>
          <w:b/>
          <w:color w:val="000000"/>
          <w:sz w:val="22"/>
        </w:rPr>
        <w:t>Q010 [emerging]:</w:t>
      </w:r>
      <w:r>
        <w:rPr>
          <w:rFonts w:ascii="Calibri" w:hAnsi="Calibri"/>
          <w:color w:val="000000"/>
          <w:sz w:val="22"/>
        </w:rPr>
        <w:t xml:space="preserve"> Does severe centrum semiovale PVS add independent diagnostic information for CAA?</w:t>
      </w:r>
    </w:p>
    <w:p>
      <w:pPr>
        <w:numPr>
          <w:ilvl w:val="0"/>
          <w:numId w:val="10"/>
        </w:numPr>
        <w:spacing w:before="0" w:after="80" w:line="300" w:lineRule="auto"/>
      </w:pPr>
      <w:r>
        <w:rPr>
          <w:rFonts w:ascii="Calibri" w:hAnsi="Calibri"/>
          <w:b/>
          <w:color w:val="000000"/>
          <w:sz w:val="22"/>
        </w:rPr>
        <w:t>Q011 [emerging]:</w:t>
      </w:r>
      <w:r>
        <w:rPr>
          <w:rFonts w:ascii="Calibri" w:hAnsi="Calibri"/>
          <w:color w:val="000000"/>
          <w:sz w:val="22"/>
        </w:rPr>
        <w:t xml:space="preserve"> Is the multispot WMH pattern independently informative for CAA?</w:t>
      </w:r>
    </w:p>
    <w:p>
      <w:pPr>
        <w:numPr>
          <w:ilvl w:val="0"/>
          <w:numId w:val="10"/>
        </w:numPr>
        <w:spacing w:before="0" w:after="80" w:line="300" w:lineRule="auto"/>
      </w:pPr>
      <w:r>
        <w:rPr>
          <w:rFonts w:ascii="Calibri" w:hAnsi="Calibri"/>
          <w:b/>
          <w:color w:val="000000"/>
          <w:sz w:val="22"/>
        </w:rPr>
        <w:t>Q012 [bounded]:</w:t>
      </w:r>
      <w:r>
        <w:rPr>
          <w:rFonts w:ascii="Calibri" w:hAnsi="Calibri"/>
          <w:color w:val="000000"/>
          <w:sz w:val="22"/>
        </w:rPr>
        <w:t xml:space="preserve"> When do CT morphology and APOE genotype add value after lobar ICH?</w:t>
      </w:r>
    </w:p>
    <w:p>
      <w:pPr>
        <w:keepNext/>
        <w:spacing w:before="160" w:after="80"/>
      </w:pPr>
      <w:r>
        <w:rPr>
          <w:rFonts w:ascii="Calibri" w:hAnsi="Calibri"/>
          <w:b/>
          <w:color w:val="1F4D78"/>
          <w:sz w:val="22"/>
        </w:rPr>
        <w:t>Caa Prognosis</w:t>
      </w:r>
    </w:p>
    <w:p>
      <w:pPr>
        <w:numPr>
          <w:ilvl w:val="0"/>
          <w:numId w:val="10"/>
        </w:numPr>
        <w:spacing w:before="0" w:after="80" w:line="300" w:lineRule="auto"/>
      </w:pPr>
      <w:r>
        <w:rPr>
          <w:rFonts w:ascii="Calibri" w:hAnsi="Calibri"/>
          <w:b/>
          <w:color w:val="000000"/>
          <w:sz w:val="22"/>
        </w:rPr>
        <w:t>Q009 [bounded]:</w:t>
      </w:r>
      <w:r>
        <w:rPr>
          <w:rFonts w:ascii="Calibri" w:hAnsi="Calibri"/>
          <w:color w:val="000000"/>
          <w:sz w:val="22"/>
        </w:rPr>
        <w:t xml:space="preserve"> How should cortical superficial siderosis extent and progression be used for prognosis?</w:t>
      </w:r>
    </w:p>
    <w:p>
      <w:pPr>
        <w:keepNext/>
        <w:spacing w:before="160" w:after="80"/>
      </w:pPr>
      <w:r>
        <w:rPr>
          <w:rFonts w:ascii="Calibri" w:hAnsi="Calibri"/>
          <w:b/>
          <w:color w:val="1F4D78"/>
          <w:sz w:val="22"/>
        </w:rPr>
        <w:t>Arteriolosclerosis Biomarker</w:t>
      </w:r>
    </w:p>
    <w:p>
      <w:pPr>
        <w:numPr>
          <w:ilvl w:val="0"/>
          <w:numId w:val="10"/>
        </w:numPr>
        <w:spacing w:before="0" w:after="80" w:line="300" w:lineRule="auto"/>
      </w:pPr>
      <w:r>
        <w:rPr>
          <w:rFonts w:ascii="Calibri" w:hAnsi="Calibri"/>
          <w:b/>
          <w:color w:val="000000"/>
          <w:sz w:val="22"/>
        </w:rPr>
        <w:t>Q017 [critical gap]:</w:t>
      </w:r>
      <w:r>
        <w:rPr>
          <w:rFonts w:ascii="Calibri" w:hAnsi="Calibri"/>
          <w:color w:val="000000"/>
          <w:sz w:val="22"/>
        </w:rPr>
        <w:t xml:space="preserve"> Does ARTS externally predict pathology-confirmed arteriolosclerosis?</w:t>
      </w:r>
    </w:p>
    <w:p>
      <w:pPr>
        <w:numPr>
          <w:ilvl w:val="0"/>
          <w:numId w:val="10"/>
        </w:numPr>
        <w:spacing w:before="0" w:after="80" w:line="300" w:lineRule="auto"/>
      </w:pPr>
      <w:r>
        <w:rPr>
          <w:rFonts w:ascii="Calibri" w:hAnsi="Calibri"/>
          <w:b/>
          <w:color w:val="000000"/>
          <w:sz w:val="22"/>
        </w:rPr>
        <w:t>Q018 [critical gap]:</w:t>
      </w:r>
      <w:r>
        <w:rPr>
          <w:rFonts w:ascii="Calibri" w:hAnsi="Calibri"/>
          <w:color w:val="000000"/>
          <w:sz w:val="22"/>
        </w:rPr>
        <w:t xml:space="preserve"> Does ARTS add clinically meaningful information beyond conventional measures?</w:t>
      </w:r>
    </w:p>
    <w:p>
      <w:pPr>
        <w:keepNext/>
        <w:spacing w:before="160" w:after="80"/>
      </w:pPr>
      <w:r>
        <w:rPr>
          <w:rFonts w:ascii="Calibri" w:hAnsi="Calibri"/>
          <w:b/>
          <w:color w:val="1F4D78"/>
          <w:sz w:val="22"/>
        </w:rPr>
        <w:t>Arteriolosclerosis Diagnosis</w:t>
      </w:r>
    </w:p>
    <w:p>
      <w:pPr>
        <w:numPr>
          <w:ilvl w:val="0"/>
          <w:numId w:val="10"/>
        </w:numPr>
        <w:spacing w:before="0" w:after="80" w:line="300" w:lineRule="auto"/>
      </w:pPr>
      <w:r>
        <w:rPr>
          <w:rFonts w:ascii="Calibri" w:hAnsi="Calibri"/>
          <w:b/>
          <w:color w:val="000000"/>
          <w:sz w:val="22"/>
        </w:rPr>
        <w:t>Q013 [critical gap]:</w:t>
      </w:r>
      <w:r>
        <w:rPr>
          <w:rFonts w:ascii="Calibri" w:hAnsi="Calibri"/>
          <w:color w:val="000000"/>
          <w:sz w:val="22"/>
        </w:rPr>
        <w:t xml:space="preserve"> What ante-mortem MRI phenotype best predicts pathology-confirmed brain arteriolosclerosis?</w:t>
      </w:r>
    </w:p>
    <w:p>
      <w:pPr>
        <w:numPr>
          <w:ilvl w:val="0"/>
          <w:numId w:val="10"/>
        </w:numPr>
        <w:spacing w:before="0" w:after="80" w:line="300" w:lineRule="auto"/>
      </w:pPr>
      <w:r>
        <w:rPr>
          <w:rFonts w:ascii="Calibri" w:hAnsi="Calibri"/>
          <w:b/>
          <w:color w:val="000000"/>
          <w:sz w:val="22"/>
        </w:rPr>
        <w:t>Q014 [critical gap]:</w:t>
      </w:r>
      <w:r>
        <w:rPr>
          <w:rFonts w:ascii="Calibri" w:hAnsi="Calibri"/>
          <w:color w:val="000000"/>
          <w:sz w:val="22"/>
        </w:rPr>
        <w:t xml:space="preserve"> How specific are deep microbleeds for nonamyloid arteriolosclerosis?</w:t>
      </w:r>
    </w:p>
    <w:p>
      <w:pPr>
        <w:numPr>
          <w:ilvl w:val="0"/>
          <w:numId w:val="10"/>
        </w:numPr>
        <w:spacing w:before="0" w:after="80" w:line="300" w:lineRule="auto"/>
      </w:pPr>
      <w:r>
        <w:rPr>
          <w:rFonts w:ascii="Calibri" w:hAnsi="Calibri"/>
          <w:b/>
          <w:color w:val="000000"/>
          <w:sz w:val="22"/>
        </w:rPr>
        <w:t>Q015 [critical gap]:</w:t>
      </w:r>
      <w:r>
        <w:rPr>
          <w:rFonts w:ascii="Calibri" w:hAnsi="Calibri"/>
          <w:color w:val="000000"/>
          <w:sz w:val="22"/>
        </w:rPr>
        <w:t xml:space="preserve"> Which lacune locations and morphologies are most informative for arteriolosclerosis?</w:t>
      </w:r>
    </w:p>
    <w:p>
      <w:pPr>
        <w:numPr>
          <w:ilvl w:val="0"/>
          <w:numId w:val="10"/>
        </w:numPr>
        <w:spacing w:before="0" w:after="80" w:line="300" w:lineRule="auto"/>
      </w:pPr>
      <w:r>
        <w:rPr>
          <w:rFonts w:ascii="Calibri" w:hAnsi="Calibri"/>
          <w:b/>
          <w:color w:val="000000"/>
          <w:sz w:val="22"/>
        </w:rPr>
        <w:t>Q016 [critical gap]:</w:t>
      </w:r>
      <w:r>
        <w:rPr>
          <w:rFonts w:ascii="Calibri" w:hAnsi="Calibri"/>
          <w:color w:val="000000"/>
          <w:sz w:val="22"/>
        </w:rPr>
        <w:t xml:space="preserve"> Can WMH spatial patterns distinguish arteriolosclerosis from CAA, AD, and mixed disease?</w:t>
      </w:r>
    </w:p>
    <w:p>
      <w:pPr>
        <w:keepNext/>
        <w:spacing w:before="160" w:after="80"/>
      </w:pPr>
      <w:r>
        <w:rPr>
          <w:rFonts w:ascii="Calibri" w:hAnsi="Calibri"/>
          <w:b/>
          <w:color w:val="1F4D78"/>
          <w:sz w:val="22"/>
        </w:rPr>
        <w:t>Cognition</w:t>
      </w:r>
    </w:p>
    <w:p>
      <w:pPr>
        <w:numPr>
          <w:ilvl w:val="0"/>
          <w:numId w:val="10"/>
        </w:numPr>
        <w:spacing w:before="0" w:after="80" w:line="300" w:lineRule="auto"/>
      </w:pPr>
      <w:r>
        <w:rPr>
          <w:rFonts w:ascii="Calibri" w:hAnsi="Calibri"/>
          <w:b/>
          <w:color w:val="000000"/>
          <w:sz w:val="22"/>
        </w:rPr>
        <w:t>Q033 [critical gap]:</w:t>
      </w:r>
      <w:r>
        <w:rPr>
          <w:rFonts w:ascii="Calibri" w:hAnsi="Calibri"/>
          <w:color w:val="000000"/>
          <w:sz w:val="22"/>
        </w:rPr>
        <w:t xml:space="preserve"> How much cognitive decline is mediated by infarcts, white-matter injury, network disruption, and neurodegeneration?</w:t>
      </w:r>
    </w:p>
    <w:p>
      <w:pPr>
        <w:keepNext/>
        <w:spacing w:before="160" w:after="80"/>
      </w:pPr>
      <w:r>
        <w:rPr>
          <w:rFonts w:ascii="Calibri" w:hAnsi="Calibri"/>
          <w:b/>
          <w:color w:val="1F4D78"/>
          <w:sz w:val="22"/>
        </w:rPr>
        <w:t>Fluid Biomarkers</w:t>
      </w:r>
    </w:p>
    <w:p>
      <w:pPr>
        <w:numPr>
          <w:ilvl w:val="0"/>
          <w:numId w:val="10"/>
        </w:numPr>
        <w:spacing w:before="0" w:after="80" w:line="300" w:lineRule="auto"/>
      </w:pPr>
      <w:r>
        <w:rPr>
          <w:rFonts w:ascii="Calibri" w:hAnsi="Calibri"/>
          <w:b/>
          <w:color w:val="000000"/>
          <w:sz w:val="22"/>
        </w:rPr>
        <w:t>Q025 [critical gap]:</w:t>
      </w:r>
      <w:r>
        <w:rPr>
          <w:rFonts w:ascii="Calibri" w:hAnsi="Calibri"/>
          <w:color w:val="000000"/>
          <w:sz w:val="22"/>
        </w:rPr>
        <w:t xml:space="preserve"> Can CSF or plasma distinguish CAA from AD and mixed amyloid disease?</w:t>
      </w:r>
    </w:p>
    <w:p>
      <w:pPr>
        <w:keepNext/>
        <w:spacing w:before="160" w:after="80"/>
      </w:pPr>
      <w:r>
        <w:rPr>
          <w:rFonts w:ascii="Calibri" w:hAnsi="Calibri"/>
          <w:b/>
          <w:color w:val="1F4D78"/>
          <w:sz w:val="22"/>
        </w:rPr>
        <w:t>Genetics</w:t>
      </w:r>
    </w:p>
    <w:p>
      <w:pPr>
        <w:numPr>
          <w:ilvl w:val="0"/>
          <w:numId w:val="10"/>
        </w:numPr>
        <w:spacing w:before="0" w:after="80" w:line="300" w:lineRule="auto"/>
      </w:pPr>
      <w:r>
        <w:rPr>
          <w:rFonts w:ascii="Calibri" w:hAnsi="Calibri"/>
          <w:b/>
          <w:color w:val="000000"/>
          <w:sz w:val="22"/>
        </w:rPr>
        <w:t>Q034 [emerging]:</w:t>
      </w:r>
      <w:r>
        <w:rPr>
          <w:rFonts w:ascii="Calibri" w:hAnsi="Calibri"/>
          <w:color w:val="000000"/>
          <w:sz w:val="22"/>
        </w:rPr>
        <w:t xml:space="preserve"> Which findings from hereditary CAA transport to sporadic CAA?</w:t>
      </w:r>
    </w:p>
    <w:p>
      <w:pPr>
        <w:numPr>
          <w:ilvl w:val="0"/>
          <w:numId w:val="10"/>
        </w:numPr>
        <w:spacing w:before="0" w:after="80" w:line="300" w:lineRule="auto"/>
      </w:pPr>
      <w:r>
        <w:rPr>
          <w:rFonts w:ascii="Calibri" w:hAnsi="Calibri"/>
          <w:b/>
          <w:color w:val="000000"/>
          <w:sz w:val="22"/>
        </w:rPr>
        <w:t>Q035 [bounded]:</w:t>
      </w:r>
      <w:r>
        <w:rPr>
          <w:rFonts w:ascii="Calibri" w:hAnsi="Calibri"/>
          <w:color w:val="000000"/>
          <w:sz w:val="22"/>
        </w:rPr>
        <w:t xml:space="preserve"> How does APOE modify CAA burden, hemorrhage, inflammation, and ARIA risk?</w:t>
      </w:r>
    </w:p>
    <w:p>
      <w:pPr>
        <w:keepNext/>
        <w:spacing w:before="160" w:after="80"/>
      </w:pPr>
      <w:r>
        <w:rPr>
          <w:rFonts w:ascii="Calibri" w:hAnsi="Calibri"/>
          <w:b/>
          <w:color w:val="1F4D78"/>
          <w:sz w:val="22"/>
        </w:rPr>
        <w:t>Inflammatory Caa</w:t>
      </w:r>
    </w:p>
    <w:p>
      <w:pPr>
        <w:numPr>
          <w:ilvl w:val="0"/>
          <w:numId w:val="10"/>
        </w:numPr>
        <w:spacing w:before="0" w:after="80" w:line="300" w:lineRule="auto"/>
      </w:pPr>
      <w:r>
        <w:rPr>
          <w:rFonts w:ascii="Calibri" w:hAnsi="Calibri"/>
          <w:b/>
          <w:color w:val="000000"/>
          <w:sz w:val="22"/>
        </w:rPr>
        <w:t>Q036 [bounded]:</w:t>
      </w:r>
      <w:r>
        <w:rPr>
          <w:rFonts w:ascii="Calibri" w:hAnsi="Calibri"/>
          <w:color w:val="000000"/>
          <w:sz w:val="22"/>
        </w:rPr>
        <w:t xml:space="preserve"> How accurately do clinicoradiologic criteria identify CAA-ri among realistic mimics?</w:t>
      </w:r>
    </w:p>
    <w:p>
      <w:pPr>
        <w:keepNext/>
        <w:spacing w:before="160" w:after="80"/>
      </w:pPr>
      <w:r>
        <w:rPr>
          <w:rFonts w:ascii="Calibri" w:hAnsi="Calibri"/>
          <w:b/>
          <w:color w:val="1F4D78"/>
          <w:sz w:val="22"/>
        </w:rPr>
        <w:t>Measurement</w:t>
      </w:r>
    </w:p>
    <w:p>
      <w:pPr>
        <w:numPr>
          <w:ilvl w:val="0"/>
          <w:numId w:val="10"/>
        </w:numPr>
        <w:spacing w:before="0" w:after="80" w:line="300" w:lineRule="auto"/>
      </w:pPr>
      <w:r>
        <w:rPr>
          <w:rFonts w:ascii="Calibri" w:hAnsi="Calibri"/>
          <w:b/>
          <w:color w:val="000000"/>
          <w:sz w:val="22"/>
        </w:rPr>
        <w:t>Q003 [bounded]:</w:t>
      </w:r>
      <w:r>
        <w:rPr>
          <w:rFonts w:ascii="Calibri" w:hAnsi="Calibri"/>
          <w:color w:val="000000"/>
          <w:sz w:val="22"/>
        </w:rPr>
        <w:t xml:space="preserve"> What minimum MRI protocol is required to phenotype hemorrhagic and nonhemorrhagic cSVD reproducibly?</w:t>
      </w:r>
    </w:p>
    <w:p>
      <w:pPr>
        <w:numPr>
          <w:ilvl w:val="0"/>
          <w:numId w:val="10"/>
        </w:numPr>
        <w:spacing w:before="0" w:after="80" w:line="300" w:lineRule="auto"/>
      </w:pPr>
      <w:r>
        <w:rPr>
          <w:rFonts w:ascii="Calibri" w:hAnsi="Calibri"/>
          <w:b/>
          <w:color w:val="000000"/>
          <w:sz w:val="22"/>
        </w:rPr>
        <w:t>Q004 [emerging]:</w:t>
      </w:r>
      <w:r>
        <w:rPr>
          <w:rFonts w:ascii="Calibri" w:hAnsi="Calibri"/>
          <w:color w:val="000000"/>
          <w:sz w:val="22"/>
        </w:rPr>
        <w:t xml:space="preserve"> Which cSVD measures are repeatable enough for longitudinal or treatment-response use?</w:t>
      </w:r>
    </w:p>
    <w:p>
      <w:pPr>
        <w:keepNext/>
        <w:spacing w:before="160" w:after="80"/>
      </w:pPr>
      <w:r>
        <w:rPr>
          <w:rFonts w:ascii="Calibri" w:hAnsi="Calibri"/>
          <w:b/>
          <w:color w:val="1F4D78"/>
          <w:sz w:val="22"/>
        </w:rPr>
        <w:t>Mechanism</w:t>
      </w:r>
    </w:p>
    <w:p>
      <w:pPr>
        <w:numPr>
          <w:ilvl w:val="0"/>
          <w:numId w:val="10"/>
        </w:numPr>
        <w:spacing w:before="0" w:after="80" w:line="300" w:lineRule="auto"/>
      </w:pPr>
      <w:r>
        <w:rPr>
          <w:rFonts w:ascii="Calibri" w:hAnsi="Calibri"/>
          <w:b/>
          <w:color w:val="000000"/>
          <w:sz w:val="22"/>
        </w:rPr>
        <w:t>Q020 [emerging]:</w:t>
      </w:r>
      <w:r>
        <w:rPr>
          <w:rFonts w:ascii="Calibri" w:hAnsi="Calibri"/>
          <w:color w:val="000000"/>
          <w:sz w:val="22"/>
        </w:rPr>
        <w:t xml:space="preserve"> Is impaired perivascular clearance an initiating cause, amplifier, or consequence of CAA?</w:t>
      </w:r>
    </w:p>
    <w:p>
      <w:pPr>
        <w:numPr>
          <w:ilvl w:val="0"/>
          <w:numId w:val="10"/>
        </w:numPr>
        <w:spacing w:before="0" w:after="80" w:line="300" w:lineRule="auto"/>
      </w:pPr>
      <w:r>
        <w:rPr>
          <w:rFonts w:ascii="Calibri" w:hAnsi="Calibri"/>
          <w:b/>
          <w:color w:val="000000"/>
          <w:sz w:val="22"/>
        </w:rPr>
        <w:t>Q021 [emerging]:</w:t>
      </w:r>
      <w:r>
        <w:rPr>
          <w:rFonts w:ascii="Calibri" w:hAnsi="Calibri"/>
          <w:color w:val="000000"/>
          <w:sz w:val="22"/>
        </w:rPr>
        <w:t xml:space="preserve"> Does vascular physiological dysfunction precede irreversible tissue injury?</w:t>
      </w:r>
    </w:p>
    <w:p>
      <w:pPr>
        <w:numPr>
          <w:ilvl w:val="0"/>
          <w:numId w:val="10"/>
        </w:numPr>
        <w:spacing w:before="0" w:after="80" w:line="300" w:lineRule="auto"/>
      </w:pPr>
      <w:r>
        <w:rPr>
          <w:rFonts w:ascii="Calibri" w:hAnsi="Calibri"/>
          <w:b/>
          <w:color w:val="000000"/>
          <w:sz w:val="22"/>
        </w:rPr>
        <w:t>Q022 [emerging]:</w:t>
      </w:r>
      <w:r>
        <w:rPr>
          <w:rFonts w:ascii="Calibri" w:hAnsi="Calibri"/>
          <w:color w:val="000000"/>
          <w:sz w:val="22"/>
        </w:rPr>
        <w:t xml:space="preserve"> Is BBB leakage an early driver of CAA and arteriolosclerosis or a downstream marker?</w:t>
      </w:r>
    </w:p>
    <w:p>
      <w:pPr>
        <w:numPr>
          <w:ilvl w:val="0"/>
          <w:numId w:val="10"/>
        </w:numPr>
        <w:spacing w:before="0" w:after="80" w:line="300" w:lineRule="auto"/>
      </w:pPr>
      <w:r>
        <w:rPr>
          <w:rFonts w:ascii="Calibri" w:hAnsi="Calibri"/>
          <w:b/>
          <w:color w:val="000000"/>
          <w:sz w:val="22"/>
        </w:rPr>
        <w:t>Q023 [emerging]:</w:t>
      </w:r>
      <w:r>
        <w:rPr>
          <w:rFonts w:ascii="Calibri" w:hAnsi="Calibri"/>
          <w:color w:val="000000"/>
          <w:sz w:val="22"/>
        </w:rPr>
        <w:t xml:space="preserve"> Which inflammatory pathways are causal, protective, or secondary in CAA?</w:t>
      </w:r>
    </w:p>
    <w:p>
      <w:pPr>
        <w:numPr>
          <w:ilvl w:val="0"/>
          <w:numId w:val="10"/>
        </w:numPr>
        <w:spacing w:before="0" w:after="80" w:line="300" w:lineRule="auto"/>
      </w:pPr>
      <w:r>
        <w:rPr>
          <w:rFonts w:ascii="Calibri" w:hAnsi="Calibri"/>
          <w:b/>
          <w:color w:val="000000"/>
          <w:sz w:val="22"/>
        </w:rPr>
        <w:t>Q024 [critical gap]:</w:t>
      </w:r>
      <w:r>
        <w:rPr>
          <w:rFonts w:ascii="Calibri" w:hAnsi="Calibri"/>
          <w:color w:val="000000"/>
          <w:sz w:val="22"/>
        </w:rPr>
        <w:t xml:space="preserve"> How do pulsatility, stiffness, autoregulation, and smooth-muscle loss interact in deep perforator injury?</w:t>
      </w:r>
    </w:p>
    <w:p>
      <w:pPr>
        <w:keepNext/>
        <w:spacing w:before="160" w:after="80"/>
      </w:pPr>
      <w:r>
        <w:rPr>
          <w:rFonts w:ascii="Calibri" w:hAnsi="Calibri"/>
          <w:b/>
          <w:color w:val="1F4D78"/>
          <w:sz w:val="22"/>
        </w:rPr>
        <w:t>Mixed Pathology</w:t>
      </w:r>
    </w:p>
    <w:p>
      <w:pPr>
        <w:numPr>
          <w:ilvl w:val="0"/>
          <w:numId w:val="10"/>
        </w:numPr>
        <w:spacing w:before="0" w:after="80" w:line="300" w:lineRule="auto"/>
      </w:pPr>
      <w:r>
        <w:rPr>
          <w:rFonts w:ascii="Calibri" w:hAnsi="Calibri"/>
          <w:b/>
          <w:color w:val="000000"/>
          <w:sz w:val="22"/>
        </w:rPr>
        <w:t>Q030 [emerging]:</w:t>
      </w:r>
      <w:r>
        <w:rPr>
          <w:rFonts w:ascii="Calibri" w:hAnsi="Calibri"/>
          <w:color w:val="000000"/>
          <w:sz w:val="22"/>
        </w:rPr>
        <w:t xml:space="preserve"> How do vascular amyloid and AD neuropathologic change interact to produce cognition?</w:t>
      </w:r>
    </w:p>
    <w:p>
      <w:pPr>
        <w:numPr>
          <w:ilvl w:val="0"/>
          <w:numId w:val="10"/>
        </w:numPr>
        <w:spacing w:before="0" w:after="80" w:line="300" w:lineRule="auto"/>
      </w:pPr>
      <w:r>
        <w:rPr>
          <w:rFonts w:ascii="Calibri" w:hAnsi="Calibri"/>
          <w:b/>
          <w:color w:val="000000"/>
          <w:sz w:val="22"/>
        </w:rPr>
        <w:t>Q031 [critical gap]:</w:t>
      </w:r>
      <w:r>
        <w:rPr>
          <w:rFonts w:ascii="Calibri" w:hAnsi="Calibri"/>
          <w:color w:val="000000"/>
          <w:sz w:val="22"/>
        </w:rPr>
        <w:t xml:space="preserve"> How do arteriolosclerosis and CAA jointly shape MRI phenotypes and outcomes?</w:t>
      </w:r>
    </w:p>
    <w:p>
      <w:pPr>
        <w:numPr>
          <w:ilvl w:val="0"/>
          <w:numId w:val="10"/>
        </w:numPr>
        <w:spacing w:before="0" w:after="80" w:line="300" w:lineRule="auto"/>
      </w:pPr>
      <w:r>
        <w:rPr>
          <w:rFonts w:ascii="Calibri" w:hAnsi="Calibri"/>
          <w:b/>
          <w:color w:val="000000"/>
          <w:sz w:val="22"/>
        </w:rPr>
        <w:t>Q032 [emerging]:</w:t>
      </w:r>
      <w:r>
        <w:rPr>
          <w:rFonts w:ascii="Calibri" w:hAnsi="Calibri"/>
          <w:color w:val="000000"/>
          <w:sz w:val="22"/>
        </w:rPr>
        <w:t xml:space="preserve"> What links arteriolosclerosis to hippocampal sclerosis and LATE-related pathology?</w:t>
      </w:r>
    </w:p>
    <w:p>
      <w:pPr>
        <w:keepNext/>
        <w:spacing w:before="160" w:after="80"/>
      </w:pPr>
      <w:r>
        <w:rPr>
          <w:rFonts w:ascii="Calibri" w:hAnsi="Calibri"/>
          <w:b/>
          <w:color w:val="1F4D78"/>
          <w:sz w:val="22"/>
        </w:rPr>
        <w:t>Molecular Imaging</w:t>
      </w:r>
    </w:p>
    <w:p>
      <w:pPr>
        <w:numPr>
          <w:ilvl w:val="0"/>
          <w:numId w:val="10"/>
        </w:numPr>
        <w:spacing w:before="0" w:after="80" w:line="300" w:lineRule="auto"/>
      </w:pPr>
      <w:r>
        <w:rPr>
          <w:rFonts w:ascii="Calibri" w:hAnsi="Calibri"/>
          <w:b/>
          <w:color w:val="000000"/>
          <w:sz w:val="22"/>
        </w:rPr>
        <w:t>Q026 [emerging]:</w:t>
      </w:r>
      <w:r>
        <w:rPr>
          <w:rFonts w:ascii="Calibri" w:hAnsi="Calibri"/>
          <w:color w:val="000000"/>
          <w:sz w:val="22"/>
        </w:rPr>
        <w:t xml:space="preserve"> Can regional amyloid PET distinguish vascular from parenchymal amyloid at the patient level?</w:t>
      </w:r>
    </w:p>
    <w:p>
      <w:pPr>
        <w:keepNext/>
        <w:spacing w:before="160" w:after="80"/>
      </w:pPr>
      <w:r>
        <w:rPr>
          <w:rFonts w:ascii="Calibri" w:hAnsi="Calibri"/>
          <w:b/>
          <w:color w:val="1F4D78"/>
          <w:sz w:val="22"/>
        </w:rPr>
        <w:t>Multimodal Diagnosis</w:t>
      </w:r>
    </w:p>
    <w:p>
      <w:pPr>
        <w:numPr>
          <w:ilvl w:val="0"/>
          <w:numId w:val="10"/>
        </w:numPr>
        <w:spacing w:before="0" w:after="80" w:line="300" w:lineRule="auto"/>
      </w:pPr>
      <w:r>
        <w:rPr>
          <w:rFonts w:ascii="Calibri" w:hAnsi="Calibri"/>
          <w:b/>
          <w:color w:val="000000"/>
          <w:sz w:val="22"/>
        </w:rPr>
        <w:t>Q029 [critical gap]:</w:t>
      </w:r>
      <w:r>
        <w:rPr>
          <w:rFonts w:ascii="Calibri" w:hAnsi="Calibri"/>
          <w:color w:val="000000"/>
          <w:sz w:val="22"/>
        </w:rPr>
        <w:t xml:space="preserve"> Does multimodal integration improve etiologic inference beyond MRI alone?</w:t>
      </w:r>
    </w:p>
    <w:p>
      <w:pPr>
        <w:keepNext/>
        <w:spacing w:before="160" w:after="80"/>
      </w:pPr>
      <w:r>
        <w:rPr>
          <w:rFonts w:ascii="Calibri" w:hAnsi="Calibri"/>
          <w:b/>
          <w:color w:val="1F4D78"/>
          <w:sz w:val="22"/>
        </w:rPr>
        <w:t>Pathology</w:t>
      </w:r>
    </w:p>
    <w:p>
      <w:pPr>
        <w:numPr>
          <w:ilvl w:val="0"/>
          <w:numId w:val="10"/>
        </w:numPr>
        <w:spacing w:before="0" w:after="80" w:line="300" w:lineRule="auto"/>
      </w:pPr>
      <w:r>
        <w:rPr>
          <w:rFonts w:ascii="Calibri" w:hAnsi="Calibri"/>
          <w:b/>
          <w:color w:val="000000"/>
          <w:sz w:val="22"/>
        </w:rPr>
        <w:t>Q001 [critical gap]:</w:t>
      </w:r>
      <w:r>
        <w:rPr>
          <w:rFonts w:ascii="Calibri" w:hAnsi="Calibri"/>
          <w:color w:val="000000"/>
          <w:sz w:val="22"/>
        </w:rPr>
        <w:t xml:space="preserve"> What vessel-wall features constitute brain arteriolosclerosis, and which should remain separate constructs?</w:t>
      </w:r>
    </w:p>
    <w:p>
      <w:pPr>
        <w:numPr>
          <w:ilvl w:val="0"/>
          <w:numId w:val="10"/>
        </w:numPr>
        <w:spacing w:before="0" w:after="80" w:line="300" w:lineRule="auto"/>
      </w:pPr>
      <w:r>
        <w:rPr>
          <w:rFonts w:ascii="Calibri" w:hAnsi="Calibri"/>
          <w:b/>
          <w:color w:val="000000"/>
          <w:sz w:val="22"/>
        </w:rPr>
        <w:t>Q002 [critical gap]:</w:t>
      </w:r>
      <w:r>
        <w:rPr>
          <w:rFonts w:ascii="Calibri" w:hAnsi="Calibri"/>
          <w:color w:val="000000"/>
          <w:sz w:val="22"/>
        </w:rPr>
        <w:t xml:space="preserve"> How should regional arteriolosclerosis measurements be aggregated into a person-level burden?</w:t>
      </w:r>
    </w:p>
    <w:p>
      <w:pPr>
        <w:numPr>
          <w:ilvl w:val="0"/>
          <w:numId w:val="10"/>
        </w:numPr>
        <w:spacing w:before="0" w:after="80" w:line="300" w:lineRule="auto"/>
      </w:pPr>
      <w:r>
        <w:rPr>
          <w:rFonts w:ascii="Calibri" w:hAnsi="Calibri"/>
          <w:b/>
          <w:color w:val="000000"/>
          <w:sz w:val="22"/>
        </w:rPr>
        <w:t>Q019 [critical gap]:</w:t>
      </w:r>
      <w:r>
        <w:rPr>
          <w:rFonts w:ascii="Calibri" w:hAnsi="Calibri"/>
          <w:color w:val="000000"/>
          <w:sz w:val="22"/>
        </w:rPr>
        <w:t xml:space="preserve"> How reproducible are visual and quantitative arteriolosclerosis ratings across regions and laboratories?</w:t>
      </w:r>
    </w:p>
    <w:p>
      <w:pPr>
        <w:keepNext/>
        <w:spacing w:before="160" w:after="80"/>
      </w:pPr>
      <w:r>
        <w:rPr>
          <w:rFonts w:ascii="Calibri" w:hAnsi="Calibri"/>
          <w:b/>
          <w:color w:val="1F4D78"/>
          <w:sz w:val="22"/>
        </w:rPr>
        <w:t>Prognosis</w:t>
      </w:r>
    </w:p>
    <w:p>
      <w:pPr>
        <w:numPr>
          <w:ilvl w:val="0"/>
          <w:numId w:val="10"/>
        </w:numPr>
        <w:spacing w:before="0" w:after="80" w:line="300" w:lineRule="auto"/>
      </w:pPr>
      <w:r>
        <w:rPr>
          <w:rFonts w:ascii="Calibri" w:hAnsi="Calibri"/>
          <w:b/>
          <w:color w:val="000000"/>
          <w:sz w:val="22"/>
        </w:rPr>
        <w:t>Q039 [critical gap]:</w:t>
      </w:r>
      <w:r>
        <w:rPr>
          <w:rFonts w:ascii="Calibri" w:hAnsi="Calibri"/>
          <w:color w:val="000000"/>
          <w:sz w:val="22"/>
        </w:rPr>
        <w:t xml:space="preserve"> Which combination best predicts hemorrhage, cognitive decline, disability, and death?</w:t>
      </w:r>
    </w:p>
    <w:p>
      <w:pPr>
        <w:keepNext/>
        <w:spacing w:before="160" w:after="80"/>
      </w:pPr>
      <w:r>
        <w:rPr>
          <w:rFonts w:ascii="Calibri" w:hAnsi="Calibri"/>
          <w:b/>
          <w:color w:val="1F4D78"/>
          <w:sz w:val="22"/>
        </w:rPr>
        <w:t>Progression</w:t>
      </w:r>
    </w:p>
    <w:p>
      <w:pPr>
        <w:numPr>
          <w:ilvl w:val="0"/>
          <w:numId w:val="10"/>
        </w:numPr>
        <w:spacing w:before="0" w:after="80" w:line="300" w:lineRule="auto"/>
      </w:pPr>
      <w:r>
        <w:rPr>
          <w:rFonts w:ascii="Calibri" w:hAnsi="Calibri"/>
          <w:b/>
          <w:color w:val="000000"/>
          <w:sz w:val="22"/>
        </w:rPr>
        <w:t>Q038 [critical gap]:</w:t>
      </w:r>
      <w:r>
        <w:rPr>
          <w:rFonts w:ascii="Calibri" w:hAnsi="Calibri"/>
          <w:color w:val="000000"/>
          <w:sz w:val="22"/>
        </w:rPr>
        <w:t xml:space="preserve"> What is the temporal sequence from vascular dysfunction to nonhemorrhagic and hemorrhagic injury?</w:t>
      </w:r>
    </w:p>
    <w:p>
      <w:pPr>
        <w:keepNext/>
        <w:spacing w:before="160" w:after="80"/>
      </w:pPr>
      <w:r>
        <w:rPr>
          <w:rFonts w:ascii="Calibri" w:hAnsi="Calibri"/>
          <w:b/>
          <w:color w:val="1F4D78"/>
          <w:sz w:val="22"/>
        </w:rPr>
        <w:t>Quantitative Mri</w:t>
      </w:r>
    </w:p>
    <w:p>
      <w:pPr>
        <w:numPr>
          <w:ilvl w:val="0"/>
          <w:numId w:val="10"/>
        </w:numPr>
        <w:spacing w:before="0" w:after="80" w:line="300" w:lineRule="auto"/>
      </w:pPr>
      <w:r>
        <w:rPr>
          <w:rFonts w:ascii="Calibri" w:hAnsi="Calibri"/>
          <w:b/>
          <w:color w:val="000000"/>
          <w:sz w:val="22"/>
        </w:rPr>
        <w:t>Q027 [emerging]:</w:t>
      </w:r>
      <w:r>
        <w:rPr>
          <w:rFonts w:ascii="Calibri" w:hAnsi="Calibri"/>
          <w:color w:val="000000"/>
          <w:sz w:val="22"/>
        </w:rPr>
        <w:t xml:space="preserve"> Which diffusion metric best captures clinically meaningful SVD microstructural injury?</w:t>
      </w:r>
    </w:p>
    <w:p>
      <w:pPr>
        <w:numPr>
          <w:ilvl w:val="0"/>
          <w:numId w:val="10"/>
        </w:numPr>
        <w:spacing w:before="0" w:after="80" w:line="300" w:lineRule="auto"/>
      </w:pPr>
      <w:r>
        <w:rPr>
          <w:rFonts w:ascii="Calibri" w:hAnsi="Calibri"/>
          <w:b/>
          <w:color w:val="000000"/>
          <w:sz w:val="22"/>
        </w:rPr>
        <w:t>Q028 [emerging]:</w:t>
      </w:r>
      <w:r>
        <w:rPr>
          <w:rFonts w:ascii="Calibri" w:hAnsi="Calibri"/>
          <w:color w:val="000000"/>
          <w:sz w:val="22"/>
        </w:rPr>
        <w:t xml:space="preserve"> Are PSMD and free-water measures responsive and interpretable enough for trials?</w:t>
      </w:r>
    </w:p>
    <w:p>
      <w:pPr>
        <w:keepNext/>
        <w:spacing w:before="160" w:after="80"/>
      </w:pPr>
      <w:r>
        <w:rPr>
          <w:rFonts w:ascii="Calibri" w:hAnsi="Calibri"/>
          <w:b/>
          <w:color w:val="1F4D78"/>
          <w:sz w:val="22"/>
        </w:rPr>
        <w:t>Trials</w:t>
      </w:r>
    </w:p>
    <w:p>
      <w:pPr>
        <w:numPr>
          <w:ilvl w:val="0"/>
          <w:numId w:val="10"/>
        </w:numPr>
        <w:spacing w:before="0" w:after="80" w:line="300" w:lineRule="auto"/>
      </w:pPr>
      <w:r>
        <w:rPr>
          <w:rFonts w:ascii="Calibri" w:hAnsi="Calibri"/>
          <w:b/>
          <w:color w:val="000000"/>
          <w:sz w:val="22"/>
        </w:rPr>
        <w:t>Q040 [critical gap]:</w:t>
      </w:r>
      <w:r>
        <w:rPr>
          <w:rFonts w:ascii="Calibri" w:hAnsi="Calibri"/>
          <w:color w:val="000000"/>
          <w:sz w:val="22"/>
        </w:rPr>
        <w:t xml:space="preserve"> Which biomarkers are sufficiently reliable, causal, and responsive to serve as trial endpoints?</w:t>
      </w:r>
    </w:p>
    <w:p>
      <w:pPr>
        <w:keepNext/>
        <w:spacing w:before="160" w:after="60"/>
        <w:jc w:val="center"/>
      </w:pPr>
      <w:r>
        <w:drawing>
          <wp:inline xmlns:a="http://schemas.openxmlformats.org/drawingml/2006/main" xmlns:pic="http://schemas.openxmlformats.org/drawingml/2006/picture">
            <wp:extent cx="5715000" cy="3214688"/>
            <wp:docPr id="10" name="Picture 10" descr="Four-stage research-question lifecycle from explicit review frame to decisive next test." title="Four-stage research-question lifecycle from explicit review frame to decisive next test"/>
            <wp:cNvGraphicFramePr>
              <a:graphicFrameLocks noChangeAspect="1"/>
            </wp:cNvGraphicFramePr>
            <a:graphic>
              <a:graphicData uri="http://schemas.openxmlformats.org/drawingml/2006/picture">
                <pic:pic>
                  <pic:nvPicPr>
                    <pic:cNvPr id="0" name="figure_09_question_lifecycle.png"/>
                    <pic:cNvPicPr/>
                  </pic:nvPicPr>
                  <pic:blipFill>
                    <a:blip r:embed="rId41"/>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10. </w:t>
      </w:r>
      <w:r>
        <w:rPr>
          <w:rFonts w:ascii="Calibri" w:hAnsi="Calibri"/>
          <w:i/>
          <w:color w:val="5A626C"/>
          <w:sz w:val="19"/>
        </w:rPr>
        <w:t>Four-stage research-question lifecycle from explicit review frame to decisive next test.</w:t>
      </w:r>
    </w:p>
    <w:p>
      <w:bookmarkStart w:id="100" w:name="section_091"/>
      <w:pPr>
        <w:pStyle w:val="Heading1"/>
      </w:pPr>
      <w:r>
        <w:t>Contradiction and Falsification Atlas</w:t>
      </w:r>
      <w:bookmarkEnd w:id="100"/>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A useful hypothesis page contains the strongest case for the claim, the strongest challenge, alternative explanations, a falsifier, and a decisive experiment. Confidence is not a vote count.</w:t>
      </w:r>
    </w:p>
    <w:p>
      <w:bookmarkStart w:id="101" w:name="section_092"/>
      <w:pPr>
        <w:pStyle w:val="Heading2"/>
      </w:pPr>
      <w:r>
        <w:t>H001 | Perivascular clearance failure is an initiating driver of sporadic CAA</w:t>
      </w:r>
      <w:bookmarkEnd w:id="101"/>
    </w:p>
    <w:p>
      <w:pPr>
        <w:spacing w:before="0" w:after="120" w:line="300" w:lineRule="auto"/>
      </w:pPr>
      <w:r>
        <w:rPr>
          <w:rFonts w:ascii="Calibri" w:hAnsi="Calibri"/>
          <w:b/>
          <w:color w:val="000000"/>
          <w:sz w:val="22"/>
        </w:rPr>
        <w:t>For:</w:t>
      </w:r>
      <w:r>
        <w:rPr>
          <w:rFonts w:ascii="Calibri" w:hAnsi="Calibri"/>
          <w:color w:val="000000"/>
          <w:sz w:val="22"/>
        </w:rPr>
        <w:t xml:space="preserve"> Anatomical plausibility, vascular amyloid distribution, hereditary/experimental models, and spatial PVS-pathology associations</w:t>
      </w:r>
    </w:p>
    <w:p>
      <w:pPr>
        <w:spacing w:before="0" w:after="120" w:line="300" w:lineRule="auto"/>
      </w:pPr>
      <w:r>
        <w:rPr>
          <w:rFonts w:ascii="Calibri" w:hAnsi="Calibri"/>
          <w:b/>
          <w:color w:val="000000"/>
          <w:sz w:val="22"/>
        </w:rPr>
        <w:t>Against:</w:t>
      </w:r>
      <w:r>
        <w:rPr>
          <w:rFonts w:ascii="Calibri" w:hAnsi="Calibri"/>
          <w:color w:val="000000"/>
          <w:sz w:val="22"/>
        </w:rPr>
        <w:t xml:space="preserve"> Human flow direction and temporal onset are not directly established; clearance impairment may be secondary to vessel injury</w:t>
      </w:r>
    </w:p>
    <w:p>
      <w:pPr>
        <w:spacing w:before="0" w:after="120" w:line="300" w:lineRule="auto"/>
      </w:pPr>
      <w:r>
        <w:rPr>
          <w:rFonts w:ascii="Calibri" w:hAnsi="Calibri"/>
          <w:b/>
          <w:color w:val="000000"/>
          <w:sz w:val="22"/>
        </w:rPr>
        <w:t>Alternative:</w:t>
      </w:r>
      <w:r>
        <w:rPr>
          <w:rFonts w:ascii="Calibri" w:hAnsi="Calibri"/>
          <w:color w:val="000000"/>
          <w:sz w:val="22"/>
        </w:rPr>
        <w:t xml:space="preserve"> Production, vessel affinity, age-related matrix change, pulsatility, and BBB dysfunction</w:t>
      </w:r>
    </w:p>
    <w:p>
      <w:pPr>
        <w:spacing w:before="0" w:after="120" w:line="300" w:lineRule="auto"/>
      </w:pPr>
      <w:r>
        <w:rPr>
          <w:rFonts w:ascii="Calibri" w:hAnsi="Calibri"/>
          <w:b/>
          <w:color w:val="000000"/>
          <w:sz w:val="22"/>
        </w:rPr>
        <w:t>Falsifier:</w:t>
      </w:r>
      <w:r>
        <w:rPr>
          <w:rFonts w:ascii="Calibri" w:hAnsi="Calibri"/>
          <w:color w:val="000000"/>
          <w:sz w:val="22"/>
        </w:rPr>
        <w:t xml:space="preserve"> Normal direct clearance before and during early vascular amyloid accumulation despite sensitive measurement</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Longitudinal compartment-specific human transport study beginning before imaging disease</w:t>
      </w:r>
    </w:p>
    <w:p>
      <w:bookmarkStart w:id="102" w:name="section_093"/>
      <w:pPr>
        <w:pStyle w:val="Heading2"/>
      </w:pPr>
      <w:r>
        <w:t>H002 | Vascular physiological dysfunction precedes structural cSVD injury</w:t>
      </w:r>
      <w:bookmarkEnd w:id="102"/>
    </w:p>
    <w:p>
      <w:pPr>
        <w:spacing w:before="0" w:after="120" w:line="300" w:lineRule="auto"/>
      </w:pPr>
      <w:r>
        <w:rPr>
          <w:rFonts w:ascii="Calibri" w:hAnsi="Calibri"/>
          <w:b/>
          <w:color w:val="000000"/>
          <w:sz w:val="22"/>
        </w:rPr>
        <w:t>For:</w:t>
      </w:r>
      <w:r>
        <w:rPr>
          <w:rFonts w:ascii="Calibri" w:hAnsi="Calibri"/>
          <w:color w:val="000000"/>
          <w:sz w:val="22"/>
        </w:rPr>
        <w:t xml:space="preserve"> Longitudinal CVR predicts later WMH/PVS progression; staged CAA frameworks place physiology before tissue injury</w:t>
      </w:r>
    </w:p>
    <w:p>
      <w:pPr>
        <w:spacing w:before="0" w:after="120" w:line="300" w:lineRule="auto"/>
      </w:pPr>
      <w:r>
        <w:rPr>
          <w:rFonts w:ascii="Calibri" w:hAnsi="Calibri"/>
          <w:b/>
          <w:color w:val="000000"/>
          <w:sz w:val="22"/>
        </w:rPr>
        <w:t>Against:</w:t>
      </w:r>
      <w:r>
        <w:rPr>
          <w:rFonts w:ascii="Calibri" w:hAnsi="Calibri"/>
          <w:color w:val="000000"/>
          <w:sz w:val="22"/>
        </w:rPr>
        <w:t xml:space="preserve"> Reverse causation and shared vascular risks remain possible; clinical outcomes were not predicted at one year in MSS3</w:t>
      </w:r>
    </w:p>
    <w:p>
      <w:pPr>
        <w:spacing w:before="0" w:after="120" w:line="300" w:lineRule="auto"/>
      </w:pPr>
      <w:r>
        <w:rPr>
          <w:rFonts w:ascii="Calibri" w:hAnsi="Calibri"/>
          <w:b/>
          <w:color w:val="000000"/>
          <w:sz w:val="22"/>
        </w:rPr>
        <w:t>Alternative:</w:t>
      </w:r>
      <w:r>
        <w:rPr>
          <w:rFonts w:ascii="Calibri" w:hAnsi="Calibri"/>
          <w:color w:val="000000"/>
          <w:sz w:val="22"/>
        </w:rPr>
        <w:t xml:space="preserve"> Existing microscopic tissue injury could impair measured reactivity</w:t>
      </w:r>
    </w:p>
    <w:p>
      <w:pPr>
        <w:spacing w:before="0" w:after="120" w:line="300" w:lineRule="auto"/>
      </w:pPr>
      <w:r>
        <w:rPr>
          <w:rFonts w:ascii="Calibri" w:hAnsi="Calibri"/>
          <w:b/>
          <w:color w:val="000000"/>
          <w:sz w:val="22"/>
        </w:rPr>
        <w:t>Falsifier:</w:t>
      </w:r>
      <w:r>
        <w:rPr>
          <w:rFonts w:ascii="Calibri" w:hAnsi="Calibri"/>
          <w:color w:val="000000"/>
          <w:sz w:val="22"/>
        </w:rPr>
        <w:t xml:space="preserve"> Repeated normal physiology immediately before incident lesions in adequately powered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Repeated physiology and structural imaging with cross-lagged and intervention analyses</w:t>
      </w:r>
    </w:p>
    <w:p>
      <w:bookmarkStart w:id="103" w:name="section_094"/>
      <w:pPr>
        <w:pStyle w:val="Heading2"/>
      </w:pPr>
      <w:r>
        <w:t>H003 | BBB leakage is an early causal amplifier of CAA vessel injury</w:t>
      </w:r>
      <w:bookmarkEnd w:id="103"/>
    </w:p>
    <w:p>
      <w:pPr>
        <w:spacing w:before="0" w:after="120" w:line="300" w:lineRule="auto"/>
      </w:pPr>
      <w:r>
        <w:rPr>
          <w:rFonts w:ascii="Calibri" w:hAnsi="Calibri"/>
          <w:b/>
          <w:color w:val="000000"/>
          <w:sz w:val="22"/>
        </w:rPr>
        <w:t>For:</w:t>
      </w:r>
      <w:r>
        <w:rPr>
          <w:rFonts w:ascii="Calibri" w:hAnsi="Calibri"/>
          <w:color w:val="000000"/>
          <w:sz w:val="22"/>
        </w:rPr>
        <w:t xml:space="preserve"> Leakage and inflammation increase with histologic vessel injury and fit ARIA/CAA-ri biology</w:t>
      </w:r>
    </w:p>
    <w:p>
      <w:pPr>
        <w:spacing w:before="0" w:after="120" w:line="300" w:lineRule="auto"/>
      </w:pPr>
      <w:r>
        <w:rPr>
          <w:rFonts w:ascii="Calibri" w:hAnsi="Calibri"/>
          <w:b/>
          <w:color w:val="000000"/>
          <w:sz w:val="22"/>
        </w:rPr>
        <w:t>Against:</w:t>
      </w:r>
      <w:r>
        <w:rPr>
          <w:rFonts w:ascii="Calibri" w:hAnsi="Calibri"/>
          <w:color w:val="000000"/>
          <w:sz w:val="22"/>
        </w:rPr>
        <w:t xml:space="preserve"> Human evidence is mainly cross-sectional and leakage can follow vessel damage</w:t>
      </w:r>
    </w:p>
    <w:p>
      <w:pPr>
        <w:spacing w:before="0" w:after="120" w:line="300" w:lineRule="auto"/>
      </w:pPr>
      <w:r>
        <w:rPr>
          <w:rFonts w:ascii="Calibri" w:hAnsi="Calibri"/>
          <w:b/>
          <w:color w:val="000000"/>
          <w:sz w:val="22"/>
        </w:rPr>
        <w:t>Alternative:</w:t>
      </w:r>
      <w:r>
        <w:rPr>
          <w:rFonts w:ascii="Calibri" w:hAnsi="Calibri"/>
          <w:color w:val="000000"/>
          <w:sz w:val="22"/>
        </w:rPr>
        <w:t xml:space="preserve"> Inflammation, ischemia, and amyloid toxicity independently generate permeability</w:t>
      </w:r>
    </w:p>
    <w:p>
      <w:pPr>
        <w:spacing w:before="0" w:after="120" w:line="300" w:lineRule="auto"/>
      </w:pPr>
      <w:r>
        <w:rPr>
          <w:rFonts w:ascii="Calibri" w:hAnsi="Calibri"/>
          <w:b/>
          <w:color w:val="000000"/>
          <w:sz w:val="22"/>
        </w:rPr>
        <w:t>Falsifier:</w:t>
      </w:r>
      <w:r>
        <w:rPr>
          <w:rFonts w:ascii="Calibri" w:hAnsi="Calibri"/>
          <w:color w:val="000000"/>
          <w:sz w:val="22"/>
        </w:rPr>
        <w:t xml:space="preserve"> No leakage before progression when measured serially with sensitive methods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Serial DCE-MRI/fluid markers with spatial pathology and treatment perturbation</w:t>
      </w:r>
    </w:p>
    <w:p>
      <w:bookmarkStart w:id="104" w:name="section_095"/>
      <w:pPr>
        <w:pStyle w:val="Heading2"/>
      </w:pPr>
      <w:r>
        <w:t>H004 | A strictly lobar hemorrhagic pattern is sufficiently specific for CAA</w:t>
      </w:r>
      <w:bookmarkEnd w:id="104"/>
    </w:p>
    <w:p>
      <w:pPr>
        <w:spacing w:before="0" w:after="120" w:line="300" w:lineRule="auto"/>
      </w:pPr>
      <w:r>
        <w:rPr>
          <w:rFonts w:ascii="Calibri" w:hAnsi="Calibri"/>
          <w:b/>
          <w:color w:val="000000"/>
          <w:sz w:val="22"/>
        </w:rPr>
        <w:t>For:</w:t>
      </w:r>
      <w:r>
        <w:rPr>
          <w:rFonts w:ascii="Calibri" w:hAnsi="Calibri"/>
          <w:color w:val="000000"/>
          <w:sz w:val="22"/>
        </w:rPr>
        <w:t xml:space="preserve"> Strong pathology-linked enrichment and established Boston criteria performance in symptomatic cohorts</w:t>
      </w:r>
    </w:p>
    <w:p>
      <w:pPr>
        <w:spacing w:before="0" w:after="120" w:line="300" w:lineRule="auto"/>
      </w:pPr>
      <w:r>
        <w:rPr>
          <w:rFonts w:ascii="Calibri" w:hAnsi="Calibri"/>
          <w:b/>
          <w:color w:val="000000"/>
          <w:sz w:val="22"/>
        </w:rPr>
        <w:t>Against:</w:t>
      </w:r>
      <w:r>
        <w:rPr>
          <w:rFonts w:ascii="Calibri" w:hAnsi="Calibri"/>
          <w:color w:val="000000"/>
          <w:sz w:val="22"/>
        </w:rPr>
        <w:t xml:space="preserve"> Nonamyloid arteriolosclerosis can produce some lobar/juxtacortical microbleeds; performance falls in other spectra</w:t>
      </w:r>
    </w:p>
    <w:p>
      <w:pPr>
        <w:spacing w:before="0" w:after="120" w:line="300" w:lineRule="auto"/>
      </w:pPr>
      <w:r>
        <w:rPr>
          <w:rFonts w:ascii="Calibri" w:hAnsi="Calibri"/>
          <w:b/>
          <w:color w:val="000000"/>
          <w:sz w:val="22"/>
        </w:rPr>
        <w:t>Alternative:</w:t>
      </w:r>
      <w:r>
        <w:rPr>
          <w:rFonts w:ascii="Calibri" w:hAnsi="Calibri"/>
          <w:color w:val="000000"/>
          <w:sz w:val="22"/>
        </w:rPr>
        <w:t xml:space="preserve"> Trauma, embolic lesions, vascular malformations, treatment effects, and mixed disease</w:t>
      </w:r>
    </w:p>
    <w:p>
      <w:pPr>
        <w:spacing w:before="0" w:after="120" w:line="300" w:lineRule="auto"/>
      </w:pPr>
      <w:r>
        <w:rPr>
          <w:rFonts w:ascii="Calibri" w:hAnsi="Calibri"/>
          <w:b/>
          <w:color w:val="000000"/>
          <w:sz w:val="22"/>
        </w:rPr>
        <w:t>Falsifier:</w:t>
      </w:r>
      <w:r>
        <w:rPr>
          <w:rFonts w:ascii="Calibri" w:hAnsi="Calibri"/>
          <w:color w:val="000000"/>
          <w:sz w:val="22"/>
        </w:rPr>
        <w:t xml:space="preserve"> High rate of non-CAA pathology among rigorously localized strictly lobar lesions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Lesion-matched MRI-histology plus external diagnostic validation</w:t>
      </w:r>
    </w:p>
    <w:p>
      <w:bookmarkStart w:id="105" w:name="section_096"/>
      <w:pPr>
        <w:pStyle w:val="Heading2"/>
      </w:pPr>
      <w:r>
        <w:t>H005 | CSO-PVS are an in-vivo marker of regional cortical CAA burden</w:t>
      </w:r>
      <w:bookmarkEnd w:id="105"/>
    </w:p>
    <w:p>
      <w:pPr>
        <w:spacing w:before="0" w:after="120" w:line="300" w:lineRule="auto"/>
      </w:pPr>
      <w:r>
        <w:rPr>
          <w:rFonts w:ascii="Calibri" w:hAnsi="Calibri"/>
          <w:b/>
          <w:color w:val="000000"/>
          <w:sz w:val="22"/>
        </w:rPr>
        <w:t>For:</w:t>
      </w:r>
      <w:r>
        <w:rPr>
          <w:rFonts w:ascii="Calibri" w:hAnsi="Calibri"/>
          <w:color w:val="000000"/>
          <w:sz w:val="22"/>
        </w:rPr>
        <w:t xml:space="preserve"> Spatial MRI-pathology association with overlying cortical amyloid and smooth-muscle loss</w:t>
      </w:r>
    </w:p>
    <w:p>
      <w:pPr>
        <w:spacing w:before="0" w:after="120" w:line="300" w:lineRule="auto"/>
      </w:pPr>
      <w:r>
        <w:rPr>
          <w:rFonts w:ascii="Calibri" w:hAnsi="Calibri"/>
          <w:b/>
          <w:color w:val="000000"/>
          <w:sz w:val="22"/>
        </w:rPr>
        <w:t>Against:</w:t>
      </w:r>
      <w:r>
        <w:rPr>
          <w:rFonts w:ascii="Calibri" w:hAnsi="Calibri"/>
          <w:color w:val="000000"/>
          <w:sz w:val="22"/>
        </w:rPr>
        <w:t xml:space="preserve"> PVS are common with aging and multiple SVD mechanisms; rating and causal interpretation vary</w:t>
      </w:r>
    </w:p>
    <w:p>
      <w:pPr>
        <w:spacing w:before="0" w:after="120" w:line="300" w:lineRule="auto"/>
      </w:pPr>
      <w:r>
        <w:rPr>
          <w:rFonts w:ascii="Calibri" w:hAnsi="Calibri"/>
          <w:b/>
          <w:color w:val="000000"/>
          <w:sz w:val="22"/>
        </w:rPr>
        <w:t>Alternative:</w:t>
      </w:r>
      <w:r>
        <w:rPr>
          <w:rFonts w:ascii="Calibri" w:hAnsi="Calibri"/>
          <w:color w:val="000000"/>
          <w:sz w:val="22"/>
        </w:rPr>
        <w:t xml:space="preserve"> Atrophy, altered interstitial fluid, venous factors, and other small-vessel pathology</w:t>
      </w:r>
    </w:p>
    <w:p>
      <w:pPr>
        <w:spacing w:before="0" w:after="120" w:line="300" w:lineRule="auto"/>
      </w:pPr>
      <w:r>
        <w:rPr>
          <w:rFonts w:ascii="Calibri" w:hAnsi="Calibri"/>
          <w:b/>
          <w:color w:val="000000"/>
          <w:sz w:val="22"/>
        </w:rPr>
        <w:t>Falsifier:</w:t>
      </w:r>
      <w:r>
        <w:rPr>
          <w:rFonts w:ascii="Calibri" w:hAnsi="Calibri"/>
          <w:color w:val="000000"/>
          <w:sz w:val="22"/>
        </w:rPr>
        <w:t xml:space="preserve"> No regional association in larger blinded pathology cohorts after confounding control</w:t>
      </w:r>
    </w:p>
    <w:p>
      <w:pPr>
        <w:spacing w:before="0" w:after="120" w:line="300" w:lineRule="auto"/>
      </w:pPr>
      <w:r>
        <w:rPr>
          <w:rFonts w:ascii="Calibri" w:hAnsi="Calibri"/>
          <w:b/>
          <w:color w:val="000000"/>
          <w:sz w:val="22"/>
        </w:rPr>
        <w:t>Decisive experiment:</w:t>
      </w:r>
      <w:r>
        <w:rPr>
          <w:rFonts w:ascii="Calibri" w:hAnsi="Calibri"/>
          <w:color w:val="000000"/>
          <w:sz w:val="22"/>
        </w:rPr>
        <w:t xml:space="preserve"> Multiregion MRI-autopsy mapping with reproducible automated PVS quantification</w:t>
      </w:r>
    </w:p>
    <w:p>
      <w:bookmarkStart w:id="106" w:name="section_097"/>
      <w:pPr>
        <w:pStyle w:val="Heading2"/>
      </w:pPr>
      <w:r>
        <w:t>H006 | A deep/perforator MRI pattern can diagnose brain arteriolosclerosis</w:t>
      </w:r>
      <w:bookmarkEnd w:id="106"/>
    </w:p>
    <w:p>
      <w:pPr>
        <w:spacing w:before="0" w:after="120" w:line="300" w:lineRule="auto"/>
      </w:pPr>
      <w:r>
        <w:rPr>
          <w:rFonts w:ascii="Calibri" w:hAnsi="Calibri"/>
          <w:b/>
          <w:color w:val="000000"/>
          <w:sz w:val="22"/>
        </w:rPr>
        <w:t>For:</w:t>
      </w:r>
      <w:r>
        <w:rPr>
          <w:rFonts w:ascii="Calibri" w:hAnsi="Calibri"/>
          <w:color w:val="000000"/>
          <w:sz w:val="22"/>
        </w:rPr>
        <w:t xml:space="preserve"> Biological plausibility and candidate associations of deep lesions, WMH, infarcts, diffusion, and vascular risks</w:t>
      </w:r>
    </w:p>
    <w:p>
      <w:pPr>
        <w:spacing w:before="0" w:after="120" w:line="300" w:lineRule="auto"/>
      </w:pPr>
      <w:r>
        <w:rPr>
          <w:rFonts w:ascii="Calibri" w:hAnsi="Calibri"/>
          <w:b/>
          <w:color w:val="000000"/>
          <w:sz w:val="22"/>
        </w:rPr>
        <w:t>Against:</w:t>
      </w:r>
      <w:r>
        <w:rPr>
          <w:rFonts w:ascii="Calibri" w:hAnsi="Calibri"/>
          <w:color w:val="000000"/>
          <w:sz w:val="22"/>
        </w:rPr>
        <w:t xml:space="preserve"> No accepted pathology-validated criteria; lesions are downstream, mixed, and sequence-dependent</w:t>
      </w:r>
    </w:p>
    <w:p>
      <w:pPr>
        <w:spacing w:before="0" w:after="120" w:line="300" w:lineRule="auto"/>
      </w:pPr>
      <w:r>
        <w:rPr>
          <w:rFonts w:ascii="Calibri" w:hAnsi="Calibri"/>
          <w:b/>
          <w:color w:val="000000"/>
          <w:sz w:val="22"/>
        </w:rPr>
        <w:t>Alternative:</w:t>
      </w:r>
      <w:r>
        <w:rPr>
          <w:rFonts w:ascii="Calibri" w:hAnsi="Calibri"/>
          <w:color w:val="000000"/>
          <w:sz w:val="22"/>
        </w:rPr>
        <w:t xml:space="preserve"> CAA, embolism, diabetes, aging, AD, inflammation, and other arteriopathies</w:t>
      </w:r>
    </w:p>
    <w:p>
      <w:pPr>
        <w:spacing w:before="0" w:after="120" w:line="300" w:lineRule="auto"/>
      </w:pPr>
      <w:r>
        <w:rPr>
          <w:rFonts w:ascii="Calibri" w:hAnsi="Calibri"/>
          <w:b/>
          <w:color w:val="000000"/>
          <w:sz w:val="22"/>
        </w:rPr>
        <w:t>Falsifier:</w:t>
      </w:r>
      <w:r>
        <w:rPr>
          <w:rFonts w:ascii="Calibri" w:hAnsi="Calibri"/>
          <w:color w:val="000000"/>
          <w:sz w:val="22"/>
        </w:rPr>
        <w:t xml:space="preserve"> Poor external calibration against standardized multiregion pathology</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Large derivation plus independent locked MRI-autopsy validation</w:t>
      </w:r>
    </w:p>
    <w:p>
      <w:bookmarkStart w:id="107" w:name="section_098"/>
      <w:pPr>
        <w:pStyle w:val="Heading2"/>
      </w:pPr>
      <w:r>
        <w:t>H007 | Arteriolosclerosis independently causes cognitive decline</w:t>
      </w:r>
      <w:bookmarkEnd w:id="107"/>
    </w:p>
    <w:p>
      <w:pPr>
        <w:spacing w:before="0" w:after="120" w:line="300" w:lineRule="auto"/>
      </w:pPr>
      <w:r>
        <w:rPr>
          <w:rFonts w:ascii="Calibri" w:hAnsi="Calibri"/>
          <w:b/>
          <w:color w:val="000000"/>
          <w:sz w:val="22"/>
        </w:rPr>
        <w:t>For:</w:t>
      </w:r>
      <w:r>
        <w:rPr>
          <w:rFonts w:ascii="Calibri" w:hAnsi="Calibri"/>
          <w:color w:val="000000"/>
          <w:sz w:val="22"/>
        </w:rPr>
        <w:t xml:space="preserve"> Autopsy associations persist after adjustment in several aging cohorts</w:t>
      </w:r>
    </w:p>
    <w:p>
      <w:pPr>
        <w:spacing w:before="0" w:after="120" w:line="300" w:lineRule="auto"/>
      </w:pPr>
      <w:r>
        <w:rPr>
          <w:rFonts w:ascii="Calibri" w:hAnsi="Calibri"/>
          <w:b/>
          <w:color w:val="000000"/>
          <w:sz w:val="22"/>
        </w:rPr>
        <w:t>Against:</w:t>
      </w:r>
      <w:r>
        <w:rPr>
          <w:rFonts w:ascii="Calibri" w:hAnsi="Calibri"/>
          <w:color w:val="000000"/>
          <w:sz w:val="22"/>
        </w:rPr>
        <w:t xml:space="preserve"> Residual confounding, measurement error, mediation by infarcts/WMH, and cohort reuse</w:t>
      </w:r>
    </w:p>
    <w:p>
      <w:pPr>
        <w:spacing w:before="0" w:after="120" w:line="300" w:lineRule="auto"/>
      </w:pPr>
      <w:r>
        <w:rPr>
          <w:rFonts w:ascii="Calibri" w:hAnsi="Calibri"/>
          <w:b/>
          <w:color w:val="000000"/>
          <w:sz w:val="22"/>
        </w:rPr>
        <w:t>Alternative:</w:t>
      </w:r>
      <w:r>
        <w:rPr>
          <w:rFonts w:ascii="Calibri" w:hAnsi="Calibri"/>
          <w:color w:val="000000"/>
          <w:sz w:val="22"/>
        </w:rPr>
        <w:t xml:space="preserve"> ADNC, LATE, hippocampal sclerosis, frailty, and vascular risks</w:t>
      </w:r>
    </w:p>
    <w:p>
      <w:pPr>
        <w:spacing w:before="0" w:after="120" w:line="300" w:lineRule="auto"/>
      </w:pPr>
      <w:r>
        <w:rPr>
          <w:rFonts w:ascii="Calibri" w:hAnsi="Calibri"/>
          <w:b/>
          <w:color w:val="000000"/>
          <w:sz w:val="22"/>
        </w:rPr>
        <w:t>Falsifier:</w:t>
      </w:r>
      <w:r>
        <w:rPr>
          <w:rFonts w:ascii="Calibri" w:hAnsi="Calibri"/>
          <w:color w:val="000000"/>
          <w:sz w:val="22"/>
        </w:rPr>
        <w:t xml:space="preserve"> No association after robust measurement-error and causal-pathway modeling across independent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Replicated longitudinal autopsy mediation analysis with harmonized pathology</w:t>
      </w:r>
    </w:p>
    <w:p>
      <w:bookmarkStart w:id="108" w:name="section_099"/>
      <w:pPr>
        <w:pStyle w:val="Heading2"/>
      </w:pPr>
      <w:r>
        <w:t>H008 | ARTS is a valid in-vivo biomarker of arteriolosclerosis</w:t>
      </w:r>
      <w:bookmarkEnd w:id="108"/>
    </w:p>
    <w:p>
      <w:pPr>
        <w:spacing w:before="0" w:after="120" w:line="300" w:lineRule="auto"/>
      </w:pPr>
      <w:r>
        <w:rPr>
          <w:rFonts w:ascii="Calibri" w:hAnsi="Calibri"/>
          <w:b/>
          <w:color w:val="000000"/>
          <w:sz w:val="22"/>
        </w:rPr>
        <w:t>For:</w:t>
      </w:r>
      <w:r>
        <w:rPr>
          <w:rFonts w:ascii="Calibri" w:hAnsi="Calibri"/>
          <w:color w:val="000000"/>
          <w:sz w:val="22"/>
        </w:rPr>
        <w:t xml:space="preserve"> Pathology-linked development, reported AUC, translation to in-vivo MRI, and repeatability work</w:t>
      </w:r>
    </w:p>
    <w:p>
      <w:pPr>
        <w:spacing w:before="0" w:after="120" w:line="300" w:lineRule="auto"/>
      </w:pPr>
      <w:r>
        <w:rPr>
          <w:rFonts w:ascii="Calibri" w:hAnsi="Calibri"/>
          <w:b/>
          <w:color w:val="000000"/>
          <w:sz w:val="22"/>
        </w:rPr>
        <w:t>Against:</w:t>
      </w:r>
      <w:r>
        <w:rPr>
          <w:rFonts w:ascii="Calibri" w:hAnsi="Calibri"/>
          <w:color w:val="000000"/>
          <w:sz w:val="22"/>
        </w:rPr>
        <w:t xml:space="preserve"> Limited independent pathology validation, selected cohorts, and uncertain incremental utility</w:t>
      </w:r>
    </w:p>
    <w:p>
      <w:pPr>
        <w:spacing w:before="0" w:after="120" w:line="300" w:lineRule="auto"/>
      </w:pPr>
      <w:r>
        <w:rPr>
          <w:rFonts w:ascii="Calibri" w:hAnsi="Calibri"/>
          <w:b/>
          <w:color w:val="000000"/>
          <w:sz w:val="22"/>
        </w:rPr>
        <w:t>Alternative:</w:t>
      </w:r>
      <w:r>
        <w:rPr>
          <w:rFonts w:ascii="Calibri" w:hAnsi="Calibri"/>
          <w:color w:val="000000"/>
          <w:sz w:val="22"/>
        </w:rPr>
        <w:t xml:space="preserve"> ARTS may reflect general aging, WMH/diffusion injury, or vascular risk burden</w:t>
      </w:r>
    </w:p>
    <w:p>
      <w:pPr>
        <w:spacing w:before="0" w:after="120" w:line="300" w:lineRule="auto"/>
      </w:pPr>
      <w:r>
        <w:rPr>
          <w:rFonts w:ascii="Calibri" w:hAnsi="Calibri"/>
          <w:b/>
          <w:color w:val="000000"/>
          <w:sz w:val="22"/>
        </w:rPr>
        <w:t>Falsifier:</w:t>
      </w:r>
      <w:r>
        <w:rPr>
          <w:rFonts w:ascii="Calibri" w:hAnsi="Calibri"/>
          <w:color w:val="000000"/>
          <w:sz w:val="22"/>
        </w:rPr>
        <w:t xml:space="preserve"> Failure of locked calibration/discrimination in an independent MRI-autopsy cohort</w:t>
      </w:r>
    </w:p>
    <w:p>
      <w:pPr>
        <w:spacing w:before="0" w:after="120" w:line="300" w:lineRule="auto"/>
      </w:pPr>
      <w:r>
        <w:rPr>
          <w:rFonts w:ascii="Calibri" w:hAnsi="Calibri"/>
          <w:b/>
          <w:color w:val="000000"/>
          <w:sz w:val="22"/>
        </w:rPr>
        <w:t>Decisive experiment:</w:t>
      </w:r>
      <w:r>
        <w:rPr>
          <w:rFonts w:ascii="Calibri" w:hAnsi="Calibri"/>
          <w:color w:val="000000"/>
          <w:sz w:val="22"/>
        </w:rPr>
        <w:t xml:space="preserve"> Independent preregistered external pathology validation against strong baselines</w:t>
      </w:r>
    </w:p>
    <w:p>
      <w:bookmarkStart w:id="109" w:name="section_100"/>
      <w:pPr>
        <w:pStyle w:val="Heading2"/>
      </w:pPr>
      <w:r>
        <w:t>H009 | CAA-ri and treatment-related ARIA lie on one inflammatory vascular-amyloid continuum</w:t>
      </w:r>
      <w:bookmarkEnd w:id="109"/>
    </w:p>
    <w:p>
      <w:pPr>
        <w:spacing w:before="0" w:after="120" w:line="300" w:lineRule="auto"/>
      </w:pPr>
      <w:r>
        <w:rPr>
          <w:rFonts w:ascii="Calibri" w:hAnsi="Calibri"/>
          <w:b/>
          <w:color w:val="000000"/>
          <w:sz w:val="22"/>
        </w:rPr>
        <w:t>For:</w:t>
      </w:r>
      <w:r>
        <w:rPr>
          <w:rFonts w:ascii="Calibri" w:hAnsi="Calibri"/>
          <w:color w:val="000000"/>
          <w:sz w:val="22"/>
        </w:rPr>
        <w:t xml:space="preserve"> Overlapping ARIA-E/ARIA-H imaging, vascular amyloid, permeability, inflammation, and occasional clinicopathologic resemblance</w:t>
      </w:r>
    </w:p>
    <w:p>
      <w:pPr>
        <w:spacing w:before="0" w:after="120" w:line="300" w:lineRule="auto"/>
      </w:pPr>
      <w:r>
        <w:rPr>
          <w:rFonts w:ascii="Calibri" w:hAnsi="Calibri"/>
          <w:b/>
          <w:color w:val="000000"/>
          <w:sz w:val="22"/>
        </w:rPr>
        <w:t>Against:</w:t>
      </w:r>
      <w:r>
        <w:rPr>
          <w:rFonts w:ascii="Calibri" w:hAnsi="Calibri"/>
          <w:color w:val="000000"/>
          <w:sz w:val="22"/>
        </w:rPr>
        <w:t xml:space="preserve"> Distinct triggers, treatment exposure, natural history, ascertainment, and incomplete direct comparative data</w:t>
      </w:r>
    </w:p>
    <w:p>
      <w:pPr>
        <w:spacing w:before="0" w:after="120" w:line="300" w:lineRule="auto"/>
      </w:pPr>
      <w:r>
        <w:rPr>
          <w:rFonts w:ascii="Calibri" w:hAnsi="Calibri"/>
          <w:b/>
          <w:color w:val="000000"/>
          <w:sz w:val="22"/>
        </w:rPr>
        <w:t>Alternative:</w:t>
      </w:r>
      <w:r>
        <w:rPr>
          <w:rFonts w:ascii="Calibri" w:hAnsi="Calibri"/>
          <w:color w:val="000000"/>
          <w:sz w:val="22"/>
        </w:rPr>
        <w:t xml:space="preserve"> Shared downstream injury from different initiating mechanisms</w:t>
      </w:r>
    </w:p>
    <w:p>
      <w:pPr>
        <w:spacing w:before="0" w:after="120" w:line="300" w:lineRule="auto"/>
      </w:pPr>
      <w:r>
        <w:rPr>
          <w:rFonts w:ascii="Calibri" w:hAnsi="Calibri"/>
          <w:b/>
          <w:color w:val="000000"/>
          <w:sz w:val="22"/>
        </w:rPr>
        <w:t>Falsifier:</w:t>
      </w:r>
      <w:r>
        <w:rPr>
          <w:rFonts w:ascii="Calibri" w:hAnsi="Calibri"/>
          <w:color w:val="000000"/>
          <w:sz w:val="22"/>
        </w:rPr>
        <w:t xml:space="preserve"> Consistently nonoverlapping immune, imaging, and pathology signatures in direct comparisons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Harmonized prospective CAA-ri versus ARIA multi-omic/imaging/pathology study</w:t>
      </w:r>
    </w:p>
    <w:p>
      <w:bookmarkStart w:id="110" w:name="section_101"/>
      <w:pPr>
        <w:pStyle w:val="Heading2"/>
      </w:pPr>
      <w:r>
        <w:t>H010 | Regional amyloid PET can distinguish CAA from AD</w:t>
      </w:r>
      <w:bookmarkEnd w:id="110"/>
    </w:p>
    <w:p>
      <w:pPr>
        <w:spacing w:before="0" w:after="120" w:line="300" w:lineRule="auto"/>
      </w:pPr>
      <w:r>
        <w:rPr>
          <w:rFonts w:ascii="Calibri" w:hAnsi="Calibri"/>
          <w:b/>
          <w:color w:val="000000"/>
          <w:sz w:val="22"/>
        </w:rPr>
        <w:t>For:</w:t>
      </w:r>
      <w:r>
        <w:rPr>
          <w:rFonts w:ascii="Calibri" w:hAnsi="Calibri"/>
          <w:color w:val="000000"/>
          <w:sz w:val="22"/>
        </w:rPr>
        <w:t xml:space="preserve"> Meta-analysis finds lower global CAA uptake than AD and relatively higher occipital-to-global uptake</w:t>
      </w:r>
    </w:p>
    <w:p>
      <w:pPr>
        <w:spacing w:before="0" w:after="120" w:line="300" w:lineRule="auto"/>
      </w:pPr>
      <w:r>
        <w:rPr>
          <w:rFonts w:ascii="Calibri" w:hAnsi="Calibri"/>
          <w:b/>
          <w:color w:val="000000"/>
          <w:sz w:val="22"/>
        </w:rPr>
        <w:t>Against:</w:t>
      </w:r>
      <w:r>
        <w:rPr>
          <w:rFonts w:ascii="Calibri" w:hAnsi="Calibri"/>
          <w:color w:val="000000"/>
          <w:sz w:val="22"/>
        </w:rPr>
        <w:t xml:space="preserve"> Most reference diagnoses are clinical; AD co-pathology and tracer heterogeneity blur compartments</w:t>
      </w:r>
    </w:p>
    <w:p>
      <w:pPr>
        <w:spacing w:before="0" w:after="120" w:line="300" w:lineRule="auto"/>
      </w:pPr>
      <w:r>
        <w:rPr>
          <w:rFonts w:ascii="Calibri" w:hAnsi="Calibri"/>
          <w:b/>
          <w:color w:val="000000"/>
          <w:sz w:val="22"/>
        </w:rPr>
        <w:t>Alternative:</w:t>
      </w:r>
      <w:r>
        <w:rPr>
          <w:rFonts w:ascii="Calibri" w:hAnsi="Calibri"/>
          <w:color w:val="000000"/>
          <w:sz w:val="22"/>
        </w:rPr>
        <w:t xml:space="preserve"> Disease stage, tracer affinity, atrophy, and mixed parenchymal/vascular amyloid</w:t>
      </w:r>
    </w:p>
    <w:p>
      <w:pPr>
        <w:spacing w:before="0" w:after="120" w:line="300" w:lineRule="auto"/>
      </w:pPr>
      <w:r>
        <w:rPr>
          <w:rFonts w:ascii="Calibri" w:hAnsi="Calibri"/>
          <w:b/>
          <w:color w:val="000000"/>
          <w:sz w:val="22"/>
        </w:rPr>
        <w:t>Falsifier:</w:t>
      </w:r>
      <w:r>
        <w:rPr>
          <w:rFonts w:ascii="Calibri" w:hAnsi="Calibri"/>
          <w:color w:val="000000"/>
          <w:sz w:val="22"/>
        </w:rPr>
        <w:t xml:space="preserve"> No patient-level separation against compartment-specific autopsy pathology</w:t>
      </w:r>
    </w:p>
    <w:p>
      <w:pPr>
        <w:spacing w:before="0" w:after="120" w:line="300" w:lineRule="auto"/>
      </w:pPr>
      <w:r>
        <w:rPr>
          <w:rFonts w:ascii="Calibri" w:hAnsi="Calibri"/>
          <w:b/>
          <w:color w:val="000000"/>
          <w:sz w:val="22"/>
        </w:rPr>
        <w:t>Decisive experiment:</w:t>
      </w:r>
      <w:r>
        <w:rPr>
          <w:rFonts w:ascii="Calibri" w:hAnsi="Calibri"/>
          <w:color w:val="000000"/>
          <w:sz w:val="22"/>
        </w:rPr>
        <w:t xml:space="preserve"> Prospective multi-tracer PET-to-autopsy threshold validation</w:t>
      </w:r>
    </w:p>
    <w:p>
      <w:bookmarkStart w:id="111" w:name="section_102"/>
      <w:pPr>
        <w:pStyle w:val="Heading2"/>
      </w:pPr>
      <w:r>
        <w:t>H011 | A fluid biomarker panel can distinguish CAA from AD and arteriolosclerosis</w:t>
      </w:r>
      <w:bookmarkEnd w:id="111"/>
    </w:p>
    <w:p>
      <w:pPr>
        <w:spacing w:before="0" w:after="120" w:line="300" w:lineRule="auto"/>
      </w:pPr>
      <w:r>
        <w:rPr>
          <w:rFonts w:ascii="Calibri" w:hAnsi="Calibri"/>
          <w:b/>
          <w:color w:val="000000"/>
          <w:sz w:val="22"/>
        </w:rPr>
        <w:t>For:</w:t>
      </w:r>
      <w:r>
        <w:rPr>
          <w:rFonts w:ascii="Calibri" w:hAnsi="Calibri"/>
          <w:color w:val="000000"/>
          <w:sz w:val="22"/>
        </w:rPr>
        <w:t xml:space="preserve"> Disease-related amyloid, neuronal, inflammatory, endothelial, and pericyte signals are detectable</w:t>
      </w:r>
    </w:p>
    <w:p>
      <w:pPr>
        <w:spacing w:before="0" w:after="120" w:line="300" w:lineRule="auto"/>
      </w:pPr>
      <w:r>
        <w:rPr>
          <w:rFonts w:ascii="Calibri" w:hAnsi="Calibri"/>
          <w:b/>
          <w:color w:val="000000"/>
          <w:sz w:val="22"/>
        </w:rPr>
        <w:t>Against:</w:t>
      </w:r>
      <w:r>
        <w:rPr>
          <w:rFonts w:ascii="Calibri" w:hAnsi="Calibri"/>
          <w:color w:val="000000"/>
          <w:sz w:val="22"/>
        </w:rPr>
        <w:t xml:space="preserve"> Substantial construct overlap, assay heterogeneity, and little pathology-linked external validation</w:t>
      </w:r>
    </w:p>
    <w:p>
      <w:pPr>
        <w:spacing w:before="0" w:after="120" w:line="300" w:lineRule="auto"/>
      </w:pPr>
      <w:r>
        <w:rPr>
          <w:rFonts w:ascii="Calibri" w:hAnsi="Calibri"/>
          <w:b/>
          <w:color w:val="000000"/>
          <w:sz w:val="22"/>
        </w:rPr>
        <w:t>Alternative:</w:t>
      </w:r>
      <w:r>
        <w:rPr>
          <w:rFonts w:ascii="Calibri" w:hAnsi="Calibri"/>
          <w:color w:val="000000"/>
          <w:sz w:val="22"/>
        </w:rPr>
        <w:t xml:space="preserve"> Systemic vascular disease, renal function, age, AD, and nonspecific neurodegeneration</w:t>
      </w:r>
    </w:p>
    <w:p>
      <w:pPr>
        <w:spacing w:before="0" w:after="120" w:line="300" w:lineRule="auto"/>
      </w:pPr>
      <w:r>
        <w:rPr>
          <w:rFonts w:ascii="Calibri" w:hAnsi="Calibri"/>
          <w:b/>
          <w:color w:val="000000"/>
          <w:sz w:val="22"/>
        </w:rPr>
        <w:t>Falsifier:</w:t>
      </w:r>
      <w:r>
        <w:rPr>
          <w:rFonts w:ascii="Calibri" w:hAnsi="Calibri"/>
          <w:color w:val="000000"/>
          <w:sz w:val="22"/>
        </w:rPr>
        <w:t xml:space="preserve"> No incremental accuracy beyond clinical/MRI models in representative pathology cohorts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Locked multisite plasma/CSF panel tested against mixed autopsy pathology</w:t>
      </w:r>
    </w:p>
    <w:p>
      <w:bookmarkStart w:id="112" w:name="section_103"/>
      <w:pPr>
        <w:pStyle w:val="Heading2"/>
      </w:pPr>
      <w:r>
        <w:t>H012 | Mixed CAA, arteriolosclerosis, and neurodegenerative pathology interact rather than merely add</w:t>
      </w:r>
      <w:bookmarkEnd w:id="112"/>
    </w:p>
    <w:p>
      <w:pPr>
        <w:spacing w:before="0" w:after="120" w:line="300" w:lineRule="auto"/>
      </w:pPr>
      <w:r>
        <w:rPr>
          <w:rFonts w:ascii="Calibri" w:hAnsi="Calibri"/>
          <w:b/>
          <w:color w:val="000000"/>
          <w:sz w:val="22"/>
        </w:rPr>
        <w:t>For:</w:t>
      </w:r>
      <w:r>
        <w:rPr>
          <w:rFonts w:ascii="Calibri" w:hAnsi="Calibri"/>
          <w:color w:val="000000"/>
          <w:sz w:val="22"/>
        </w:rPr>
        <w:t xml:space="preserve"> Frequent co-occurrence, shared vascular/amyloid pathways, spatial vulnerability, and heterogeneous phenotypes</w:t>
      </w:r>
    </w:p>
    <w:p>
      <w:pPr>
        <w:spacing w:before="0" w:after="120" w:line="300" w:lineRule="auto"/>
      </w:pPr>
      <w:r>
        <w:rPr>
          <w:rFonts w:ascii="Calibri" w:hAnsi="Calibri"/>
          <w:b/>
          <w:color w:val="000000"/>
          <w:sz w:val="22"/>
        </w:rPr>
        <w:t>Against:</w:t>
      </w:r>
      <w:r>
        <w:rPr>
          <w:rFonts w:ascii="Calibri" w:hAnsi="Calibri"/>
          <w:color w:val="000000"/>
          <w:sz w:val="22"/>
        </w:rPr>
        <w:t xml:space="preserve"> Interaction estimates are underpowered, scale-dependent, and vulnerable to measurement error</w:t>
      </w:r>
    </w:p>
    <w:p>
      <w:pPr>
        <w:spacing w:before="0" w:after="120" w:line="300" w:lineRule="auto"/>
      </w:pPr>
      <w:r>
        <w:rPr>
          <w:rFonts w:ascii="Calibri" w:hAnsi="Calibri"/>
          <w:b/>
          <w:color w:val="000000"/>
          <w:sz w:val="22"/>
        </w:rPr>
        <w:t>Alternative:</w:t>
      </w:r>
      <w:r>
        <w:rPr>
          <w:rFonts w:ascii="Calibri" w:hAnsi="Calibri"/>
          <w:color w:val="000000"/>
          <w:sz w:val="22"/>
        </w:rPr>
        <w:t xml:space="preserve"> Independent additive effects plus age-related co-occurrence</w:t>
      </w:r>
    </w:p>
    <w:p>
      <w:pPr>
        <w:spacing w:before="0" w:after="120" w:line="300" w:lineRule="auto"/>
      </w:pPr>
      <w:r>
        <w:rPr>
          <w:rFonts w:ascii="Calibri" w:hAnsi="Calibri"/>
          <w:b/>
          <w:color w:val="000000"/>
          <w:sz w:val="22"/>
        </w:rPr>
        <w:t>Falsifier:</w:t>
      </w:r>
      <w:r>
        <w:rPr>
          <w:rFonts w:ascii="Calibri" w:hAnsi="Calibri"/>
          <w:color w:val="000000"/>
          <w:sz w:val="22"/>
        </w:rPr>
        <w:t xml:space="preserve"> Consistently additive models with good calibration across independent cohorts and scales</w:t>
      </w:r>
    </w:p>
    <w:p>
      <w:pPr>
        <w:spacing w:before="0" w:after="120" w:line="300" w:lineRule="auto"/>
      </w:pPr>
      <w:r>
        <w:rPr>
          <w:rFonts w:ascii="Calibri" w:hAnsi="Calibri"/>
          <w:b/>
          <w:color w:val="000000"/>
          <w:sz w:val="22"/>
        </w:rPr>
        <w:t>Decisive experiment:</w:t>
      </w:r>
      <w:r>
        <w:rPr>
          <w:rFonts w:ascii="Calibri" w:hAnsi="Calibri"/>
          <w:color w:val="000000"/>
          <w:sz w:val="22"/>
        </w:rPr>
        <w:t xml:space="preserve"> Large replicated multiregion pathology-imaging cohort with prespecified interaction scales</w:t>
      </w:r>
    </w:p>
    <w:p>
      <w:pPr>
        <w:keepNext/>
        <w:spacing w:before="160" w:after="60"/>
        <w:jc w:val="center"/>
      </w:pPr>
      <w:r>
        <w:drawing>
          <wp:inline xmlns:a="http://schemas.openxmlformats.org/drawingml/2006/main" xmlns:pic="http://schemas.openxmlformats.org/drawingml/2006/picture">
            <wp:extent cx="5715000" cy="3214688"/>
            <wp:docPr id="11" name="Picture 11" descr="Five-part hypothesis framework including supporting evidence, challenges, alternatives, falsifier, and decisive experiment." title="Five-part hypothesis framework including supporting evidence, challenges, alternatives, falsifier, and decisive experiment"/>
            <wp:cNvGraphicFramePr>
              <a:graphicFrameLocks noChangeAspect="1"/>
            </wp:cNvGraphicFramePr>
            <a:graphic>
              <a:graphicData uri="http://schemas.openxmlformats.org/drawingml/2006/picture">
                <pic:pic>
                  <pic:nvPicPr>
                    <pic:cNvPr id="0" name="figure_13_hypothesis_anatomy.png"/>
                    <pic:cNvPicPr/>
                  </pic:nvPicPr>
                  <pic:blipFill>
                    <a:blip r:embed="rId42"/>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11. </w:t>
      </w:r>
      <w:r>
        <w:rPr>
          <w:rFonts w:ascii="Calibri" w:hAnsi="Calibri"/>
          <w:i/>
          <w:color w:val="5A626C"/>
          <w:sz w:val="19"/>
        </w:rPr>
        <w:t>Five-part hypothesis framework including supporting evidence, challenges, alternatives, falsifier, and decisive experiment.</w:t>
      </w:r>
    </w:p>
    <w:p>
      <w:bookmarkStart w:id="113" w:name="section_104"/>
      <w:pPr>
        <w:pStyle w:val="Heading1"/>
      </w:pPr>
      <w:r>
        <w:t>Cohort Lineage and Independence</w:t>
      </w:r>
      <w:bookmarkEnd w:id="113"/>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A new paper is not automatically an independent replication. Reused cohorts, nested autopsy subsets, and consortium analyses must be tracked before judging consistency.</w:t>
      </w:r>
    </w:p>
    <w:p>
      <w:bookmarkStart w:id="114" w:name="section_105"/>
      <w:pPr>
        <w:pStyle w:val="Heading2"/>
      </w:pPr>
      <w:r>
        <w:t>COH001 | Boston v2.0 multicentre tissue cohort</w:t>
      </w:r>
      <w:bookmarkEnd w:id="114"/>
    </w:p>
    <w:p>
      <w:pPr>
        <w:spacing w:before="0" w:after="120" w:line="300" w:lineRule="auto"/>
      </w:pPr>
      <w:r>
        <w:rPr>
          <w:rFonts w:ascii="Calibri" w:hAnsi="Calibri"/>
          <w:b/>
          <w:color w:val="000000"/>
          <w:sz w:val="22"/>
        </w:rPr>
        <w:t>Recruitment:</w:t>
      </w:r>
      <w:r>
        <w:rPr>
          <w:rFonts w:ascii="Calibri" w:hAnsi="Calibri"/>
          <w:color w:val="000000"/>
          <w:sz w:val="22"/>
        </w:rPr>
        <w:t xml:space="preserve"> Symptomatic referral patients with MRI and tissue</w:t>
      </w:r>
    </w:p>
    <w:p>
      <w:pPr>
        <w:spacing w:before="0" w:after="120" w:line="300" w:lineRule="auto"/>
      </w:pPr>
      <w:r>
        <w:rPr>
          <w:rFonts w:ascii="Calibri" w:hAnsi="Calibri"/>
          <w:b/>
          <w:color w:val="000000"/>
          <w:sz w:val="22"/>
        </w:rPr>
        <w:t>Known reuse:</w:t>
      </w:r>
      <w:r>
        <w:rPr>
          <w:rFonts w:ascii="Calibri" w:hAnsi="Calibri"/>
          <w:color w:val="000000"/>
          <w:sz w:val="22"/>
        </w:rPr>
        <w:t xml:space="preserve"> Derivation, temporal, geographic, and full-autopsy analyses within one publication</w:t>
      </w:r>
    </w:p>
    <w:p>
      <w:pPr>
        <w:spacing w:before="0" w:after="120" w:line="300" w:lineRule="auto"/>
      </w:pPr>
      <w:r>
        <w:rPr>
          <w:rFonts w:ascii="Calibri" w:hAnsi="Calibri"/>
          <w:b/>
          <w:color w:val="000000"/>
          <w:sz w:val="22"/>
        </w:rPr>
        <w:t>Bias relevance:</w:t>
      </w:r>
      <w:r>
        <w:rPr>
          <w:rFonts w:ascii="Calibri" w:hAnsi="Calibri"/>
          <w:color w:val="000000"/>
          <w:sz w:val="22"/>
        </w:rPr>
        <w:t xml:space="preserve"> Tissue verification and referral spectrum can inflate transportability</w:t>
      </w:r>
    </w:p>
    <w:p>
      <w:pPr>
        <w:spacing w:before="0" w:after="120" w:line="300" w:lineRule="auto"/>
      </w:pPr>
      <w:r>
        <w:rPr>
          <w:rFonts w:ascii="Calibri" w:hAnsi="Calibri"/>
          <w:b/>
          <w:color w:val="000000"/>
          <w:sz w:val="22"/>
        </w:rPr>
        <w:t>Independence note:</w:t>
      </w:r>
      <w:r>
        <w:rPr>
          <w:rFonts w:ascii="Calibri" w:hAnsi="Calibri"/>
          <w:color w:val="000000"/>
          <w:sz w:val="22"/>
        </w:rPr>
        <w:t xml:space="preserve"> Validation subsets are separated but arise from the same coordinated study program</w:t>
      </w:r>
    </w:p>
    <w:p>
      <w:bookmarkStart w:id="115" w:name="section_106"/>
      <w:pPr>
        <w:pStyle w:val="Heading2"/>
      </w:pPr>
      <w:r>
        <w:t>COH002 | ROSMAP</w:t>
      </w:r>
      <w:bookmarkEnd w:id="115"/>
    </w:p>
    <w:p>
      <w:pPr>
        <w:spacing w:before="0" w:after="120" w:line="300" w:lineRule="auto"/>
      </w:pPr>
      <w:r>
        <w:rPr>
          <w:rFonts w:ascii="Calibri" w:hAnsi="Calibri"/>
          <w:b/>
          <w:color w:val="000000"/>
          <w:sz w:val="22"/>
        </w:rPr>
        <w:t>Recruitment:</w:t>
      </w:r>
      <w:r>
        <w:rPr>
          <w:rFonts w:ascii="Calibri" w:hAnsi="Calibri"/>
          <w:color w:val="000000"/>
          <w:sz w:val="22"/>
        </w:rPr>
        <w:t xml:space="preserve"> Religious Orders Study and Rush Memory and Aging Project</w:t>
      </w:r>
    </w:p>
    <w:p>
      <w:pPr>
        <w:spacing w:before="0" w:after="120" w:line="300" w:lineRule="auto"/>
      </w:pPr>
      <w:r>
        <w:rPr>
          <w:rFonts w:ascii="Calibri" w:hAnsi="Calibri"/>
          <w:b/>
          <w:color w:val="000000"/>
          <w:sz w:val="22"/>
        </w:rPr>
        <w:t>Known reuse:</w:t>
      </w:r>
      <w:r>
        <w:rPr>
          <w:rFonts w:ascii="Calibri" w:hAnsi="Calibri"/>
          <w:color w:val="000000"/>
          <w:sz w:val="22"/>
        </w:rPr>
        <w:t xml:space="preserve"> Boston transportability, ARTS development, arteriolosclerosis, cognition, and mixed-pathology studies</w:t>
      </w:r>
    </w:p>
    <w:p>
      <w:pPr>
        <w:spacing w:before="0" w:after="120" w:line="300" w:lineRule="auto"/>
      </w:pPr>
      <w:r>
        <w:rPr>
          <w:rFonts w:ascii="Calibri" w:hAnsi="Calibri"/>
          <w:b/>
          <w:color w:val="000000"/>
          <w:sz w:val="22"/>
        </w:rPr>
        <w:t>Bias relevance:</w:t>
      </w:r>
      <w:r>
        <w:rPr>
          <w:rFonts w:ascii="Calibri" w:hAnsi="Calibri"/>
          <w:color w:val="000000"/>
          <w:sz w:val="22"/>
        </w:rPr>
        <w:t xml:space="preserve"> Volunteer, highly educated, older cohort; repeated reuse is not independent replication</w:t>
      </w:r>
    </w:p>
    <w:p>
      <w:pPr>
        <w:spacing w:before="0" w:after="120" w:line="300" w:lineRule="auto"/>
      </w:pPr>
      <w:r>
        <w:rPr>
          <w:rFonts w:ascii="Calibri" w:hAnsi="Calibri"/>
          <w:b/>
          <w:color w:val="000000"/>
          <w:sz w:val="22"/>
        </w:rPr>
        <w:t>Independence note:</w:t>
      </w:r>
      <w:r>
        <w:rPr>
          <w:rFonts w:ascii="Calibri" w:hAnsi="Calibri"/>
          <w:color w:val="000000"/>
          <w:sz w:val="22"/>
        </w:rPr>
        <w:t xml:space="preserve"> Publications may use overlapping participants and differently filtered subsets</w:t>
      </w:r>
    </w:p>
    <w:p>
      <w:bookmarkStart w:id="116" w:name="section_107"/>
      <w:pPr>
        <w:pStyle w:val="Heading2"/>
      </w:pPr>
      <w:r>
        <w:t>COH003 | Mayo nonhemorrhagic MRI-autopsy cohort</w:t>
      </w:r>
      <w:bookmarkEnd w:id="116"/>
    </w:p>
    <w:p>
      <w:pPr>
        <w:spacing w:before="0" w:after="120" w:line="300" w:lineRule="auto"/>
      </w:pPr>
      <w:r>
        <w:rPr>
          <w:rFonts w:ascii="Calibri" w:hAnsi="Calibri"/>
          <w:b/>
          <w:color w:val="000000"/>
          <w:sz w:val="22"/>
        </w:rPr>
        <w:t>Recruitment:</w:t>
      </w:r>
      <w:r>
        <w:rPr>
          <w:rFonts w:ascii="Calibri" w:hAnsi="Calibri"/>
          <w:color w:val="000000"/>
          <w:sz w:val="22"/>
        </w:rPr>
        <w:t xml:space="preserve"> Community/memory presentations without hemorrhage</w:t>
      </w:r>
    </w:p>
    <w:p>
      <w:pPr>
        <w:spacing w:before="0" w:after="120" w:line="300" w:lineRule="auto"/>
      </w:pPr>
      <w:r>
        <w:rPr>
          <w:rFonts w:ascii="Calibri" w:hAnsi="Calibri"/>
          <w:b/>
          <w:color w:val="000000"/>
          <w:sz w:val="22"/>
        </w:rPr>
        <w:t>Known reuse:</w:t>
      </w:r>
      <w:r>
        <w:rPr>
          <w:rFonts w:ascii="Calibri" w:hAnsi="Calibri"/>
          <w:color w:val="000000"/>
          <w:sz w:val="22"/>
        </w:rPr>
        <w:t xml:space="preserve"> Boston v2.0 nonhemorrhagic validation</w:t>
      </w:r>
    </w:p>
    <w:p>
      <w:pPr>
        <w:spacing w:before="0" w:after="120" w:line="300" w:lineRule="auto"/>
      </w:pPr>
      <w:r>
        <w:rPr>
          <w:rFonts w:ascii="Calibri" w:hAnsi="Calibri"/>
          <w:b/>
          <w:color w:val="000000"/>
          <w:sz w:val="22"/>
        </w:rPr>
        <w:t>Bias relevance:</w:t>
      </w:r>
      <w:r>
        <w:rPr>
          <w:rFonts w:ascii="Calibri" w:hAnsi="Calibri"/>
          <w:color w:val="000000"/>
          <w:sz w:val="22"/>
        </w:rPr>
        <w:t xml:space="preserve"> Small selected pathology subset and nonhemorrhagic spectrum</w:t>
      </w:r>
    </w:p>
    <w:p>
      <w:pPr>
        <w:spacing w:before="0" w:after="120" w:line="300" w:lineRule="auto"/>
      </w:pPr>
      <w:r>
        <w:rPr>
          <w:rFonts w:ascii="Calibri" w:hAnsi="Calibri"/>
          <w:b/>
          <w:color w:val="000000"/>
          <w:sz w:val="22"/>
        </w:rPr>
        <w:t>Independence note:</w:t>
      </w:r>
      <w:r>
        <w:rPr>
          <w:rFonts w:ascii="Calibri" w:hAnsi="Calibri"/>
          <w:color w:val="000000"/>
          <w:sz w:val="22"/>
        </w:rPr>
        <w:t xml:space="preserve"> Independent setting from Boston derivation but modest sample</w:t>
      </w:r>
    </w:p>
    <w:p>
      <w:bookmarkStart w:id="117" w:name="section_108"/>
      <w:pPr>
        <w:pStyle w:val="Heading2"/>
      </w:pPr>
      <w:r>
        <w:t>COH004 | Mild Stroke Study 3</w:t>
      </w:r>
      <w:bookmarkEnd w:id="117"/>
    </w:p>
    <w:p>
      <w:pPr>
        <w:spacing w:before="0" w:after="120" w:line="300" w:lineRule="auto"/>
      </w:pPr>
      <w:r>
        <w:rPr>
          <w:rFonts w:ascii="Calibri" w:hAnsi="Calibri"/>
          <w:b/>
          <w:color w:val="000000"/>
          <w:sz w:val="22"/>
        </w:rPr>
        <w:t>Recruitment:</w:t>
      </w:r>
      <w:r>
        <w:rPr>
          <w:rFonts w:ascii="Calibri" w:hAnsi="Calibri"/>
          <w:color w:val="000000"/>
          <w:sz w:val="22"/>
        </w:rPr>
        <w:t xml:space="preserve"> Edinburgh/Lothian minor ischemic stroke services</w:t>
      </w:r>
    </w:p>
    <w:p>
      <w:pPr>
        <w:spacing w:before="0" w:after="120" w:line="300" w:lineRule="auto"/>
      </w:pPr>
      <w:r>
        <w:rPr>
          <w:rFonts w:ascii="Calibri" w:hAnsi="Calibri"/>
          <w:b/>
          <w:color w:val="000000"/>
          <w:sz w:val="22"/>
        </w:rPr>
        <w:t>Known reuse:</w:t>
      </w:r>
      <w:r>
        <w:rPr>
          <w:rFonts w:ascii="Calibri" w:hAnsi="Calibri"/>
          <w:color w:val="000000"/>
          <w:sz w:val="22"/>
        </w:rPr>
        <w:t xml:space="preserve"> Cross-sectional and longitudinal CVR/SVD analyses</w:t>
      </w:r>
    </w:p>
    <w:p>
      <w:pPr>
        <w:spacing w:before="0" w:after="120" w:line="300" w:lineRule="auto"/>
      </w:pPr>
      <w:r>
        <w:rPr>
          <w:rFonts w:ascii="Calibri" w:hAnsi="Calibri"/>
          <w:b/>
          <w:color w:val="000000"/>
          <w:sz w:val="22"/>
        </w:rPr>
        <w:t>Bias relevance:</w:t>
      </w:r>
      <w:r>
        <w:rPr>
          <w:rFonts w:ascii="Calibri" w:hAnsi="Calibri"/>
          <w:color w:val="000000"/>
          <w:sz w:val="22"/>
        </w:rPr>
        <w:t xml:space="preserve"> Stroke enrichment limits generalization to community aging and specific vessel pathology</w:t>
      </w:r>
    </w:p>
    <w:p>
      <w:pPr>
        <w:spacing w:before="0" w:after="120" w:line="300" w:lineRule="auto"/>
      </w:pPr>
      <w:r>
        <w:rPr>
          <w:rFonts w:ascii="Calibri" w:hAnsi="Calibri"/>
          <w:b/>
          <w:color w:val="000000"/>
          <w:sz w:val="22"/>
        </w:rPr>
        <w:t>Independence note:</w:t>
      </w:r>
      <w:r>
        <w:rPr>
          <w:rFonts w:ascii="Calibri" w:hAnsi="Calibri"/>
          <w:color w:val="000000"/>
          <w:sz w:val="22"/>
        </w:rPr>
        <w:t xml:space="preserve"> Analyses using the same cohort should not be counted as independent replication</w:t>
      </w:r>
    </w:p>
    <w:p>
      <w:bookmarkStart w:id="118" w:name="section_109"/>
      <w:pPr>
        <w:pStyle w:val="Heading2"/>
      </w:pPr>
      <w:r>
        <w:t>COH005 | MarkVCID multisite consortium</w:t>
      </w:r>
      <w:bookmarkEnd w:id="118"/>
    </w:p>
    <w:p>
      <w:pPr>
        <w:spacing w:before="0" w:after="120" w:line="300" w:lineRule="auto"/>
      </w:pPr>
      <w:r>
        <w:rPr>
          <w:rFonts w:ascii="Calibri" w:hAnsi="Calibri"/>
          <w:b/>
          <w:color w:val="000000"/>
          <w:sz w:val="22"/>
        </w:rPr>
        <w:t>Recruitment:</w:t>
      </w:r>
      <w:r>
        <w:rPr>
          <w:rFonts w:ascii="Calibri" w:hAnsi="Calibri"/>
          <w:color w:val="000000"/>
          <w:sz w:val="22"/>
        </w:rPr>
        <w:t xml:space="preserve"> Older adults across participating US sites</w:t>
      </w:r>
    </w:p>
    <w:p>
      <w:pPr>
        <w:spacing w:before="0" w:after="120" w:line="300" w:lineRule="auto"/>
      </w:pPr>
      <w:r>
        <w:rPr>
          <w:rFonts w:ascii="Calibri" w:hAnsi="Calibri"/>
          <w:b/>
          <w:color w:val="000000"/>
          <w:sz w:val="22"/>
        </w:rPr>
        <w:t>Known reuse:</w:t>
      </w:r>
      <w:r>
        <w:rPr>
          <w:rFonts w:ascii="Calibri" w:hAnsi="Calibri"/>
          <w:color w:val="000000"/>
          <w:sz w:val="22"/>
        </w:rPr>
        <w:t xml:space="preserve"> PSMD, free water, CVR, clinical and fluid protocols</w:t>
      </w:r>
    </w:p>
    <w:p>
      <w:pPr>
        <w:spacing w:before="0" w:after="120" w:line="300" w:lineRule="auto"/>
      </w:pPr>
      <w:r>
        <w:rPr>
          <w:rFonts w:ascii="Calibri" w:hAnsi="Calibri"/>
          <w:b/>
          <w:color w:val="000000"/>
          <w:sz w:val="22"/>
        </w:rPr>
        <w:t>Bias relevance:</w:t>
      </w:r>
      <w:r>
        <w:rPr>
          <w:rFonts w:ascii="Calibri" w:hAnsi="Calibri"/>
          <w:color w:val="000000"/>
          <w:sz w:val="22"/>
        </w:rPr>
        <w:t xml:space="preserve"> Heterogeneous sites improve transportability but outcomes often remain associative</w:t>
      </w:r>
    </w:p>
    <w:p>
      <w:pPr>
        <w:spacing w:before="0" w:after="120" w:line="300" w:lineRule="auto"/>
      </w:pPr>
      <w:r>
        <w:rPr>
          <w:rFonts w:ascii="Calibri" w:hAnsi="Calibri"/>
          <w:b/>
          <w:color w:val="000000"/>
          <w:sz w:val="22"/>
        </w:rPr>
        <w:t>Independence note:</w:t>
      </w:r>
      <w:r>
        <w:rPr>
          <w:rFonts w:ascii="Calibri" w:hAnsi="Calibri"/>
          <w:color w:val="000000"/>
          <w:sz w:val="22"/>
        </w:rPr>
        <w:t xml:space="preserve"> Sites may be analyzed independently, but consortium-wide papers share infrastructure and some participants</w:t>
      </w:r>
    </w:p>
    <w:p>
      <w:bookmarkStart w:id="119" w:name="section_110"/>
      <w:pPr>
        <w:pStyle w:val="Heading2"/>
      </w:pPr>
      <w:r>
        <w:t>COH006 | ADNI</w:t>
      </w:r>
      <w:bookmarkEnd w:id="119"/>
    </w:p>
    <w:p>
      <w:pPr>
        <w:spacing w:before="0" w:after="120" w:line="300" w:lineRule="auto"/>
      </w:pPr>
      <w:r>
        <w:rPr>
          <w:rFonts w:ascii="Calibri" w:hAnsi="Calibri"/>
          <w:b/>
          <w:color w:val="000000"/>
          <w:sz w:val="22"/>
        </w:rPr>
        <w:t>Recruitment:</w:t>
      </w:r>
      <w:r>
        <w:rPr>
          <w:rFonts w:ascii="Calibri" w:hAnsi="Calibri"/>
          <w:color w:val="000000"/>
          <w:sz w:val="22"/>
        </w:rPr>
        <w:t xml:space="preserve"> Research volunteers across cognitive stages</w:t>
      </w:r>
    </w:p>
    <w:p>
      <w:pPr>
        <w:spacing w:before="0" w:after="120" w:line="300" w:lineRule="auto"/>
      </w:pPr>
      <w:r>
        <w:rPr>
          <w:rFonts w:ascii="Calibri" w:hAnsi="Calibri"/>
          <w:b/>
          <w:color w:val="000000"/>
          <w:sz w:val="22"/>
        </w:rPr>
        <w:t>Known reuse:</w:t>
      </w:r>
      <w:r>
        <w:rPr>
          <w:rFonts w:ascii="Calibri" w:hAnsi="Calibri"/>
          <w:color w:val="000000"/>
          <w:sz w:val="22"/>
        </w:rPr>
        <w:t xml:space="preserve"> ARTS translation and outcome association</w:t>
      </w:r>
    </w:p>
    <w:p>
      <w:pPr>
        <w:spacing w:before="0" w:after="120" w:line="300" w:lineRule="auto"/>
      </w:pPr>
      <w:r>
        <w:rPr>
          <w:rFonts w:ascii="Calibri" w:hAnsi="Calibri"/>
          <w:b/>
          <w:color w:val="000000"/>
          <w:sz w:val="22"/>
        </w:rPr>
        <w:t>Bias relevance:</w:t>
      </w:r>
      <w:r>
        <w:rPr>
          <w:rFonts w:ascii="Calibri" w:hAnsi="Calibri"/>
          <w:color w:val="000000"/>
          <w:sz w:val="22"/>
        </w:rPr>
        <w:t xml:space="preserve"> AD-focused selection and exclusions limit arteriolosclerosis generalization</w:t>
      </w:r>
    </w:p>
    <w:p>
      <w:pPr>
        <w:spacing w:before="0" w:after="120" w:line="300" w:lineRule="auto"/>
      </w:pPr>
      <w:r>
        <w:rPr>
          <w:rFonts w:ascii="Calibri" w:hAnsi="Calibri"/>
          <w:b/>
          <w:color w:val="000000"/>
          <w:sz w:val="22"/>
        </w:rPr>
        <w:t>Independence note:</w:t>
      </w:r>
      <w:r>
        <w:rPr>
          <w:rFonts w:ascii="Calibri" w:hAnsi="Calibri"/>
          <w:color w:val="000000"/>
          <w:sz w:val="22"/>
        </w:rPr>
        <w:t xml:space="preserve"> May be external to ROSMAP development but not representative clinical care</w:t>
      </w:r>
    </w:p>
    <w:p>
      <w:bookmarkStart w:id="120" w:name="section_111"/>
      <w:pPr>
        <w:pStyle w:val="Heading2"/>
      </w:pPr>
      <w:r>
        <w:t>COH007 | Edinburgh lobar ICH pathology cohort</w:t>
      </w:r>
      <w:bookmarkEnd w:id="120"/>
    </w:p>
    <w:p>
      <w:pPr>
        <w:spacing w:before="0" w:after="120" w:line="300" w:lineRule="auto"/>
      </w:pPr>
      <w:r>
        <w:rPr>
          <w:rFonts w:ascii="Calibri" w:hAnsi="Calibri"/>
          <w:b/>
          <w:color w:val="000000"/>
          <w:sz w:val="22"/>
        </w:rPr>
        <w:t>Recruitment:</w:t>
      </w:r>
      <w:r>
        <w:rPr>
          <w:rFonts w:ascii="Calibri" w:hAnsi="Calibri"/>
          <w:color w:val="000000"/>
          <w:sz w:val="22"/>
        </w:rPr>
        <w:t xml:space="preserve"> Adults with spontaneous lobar ICH</w:t>
      </w:r>
    </w:p>
    <w:p>
      <w:pPr>
        <w:spacing w:before="0" w:after="120" w:line="300" w:lineRule="auto"/>
      </w:pPr>
      <w:r>
        <w:rPr>
          <w:rFonts w:ascii="Calibri" w:hAnsi="Calibri"/>
          <w:b/>
          <w:color w:val="000000"/>
          <w:sz w:val="22"/>
        </w:rPr>
        <w:t>Known reuse:</w:t>
      </w:r>
      <w:r>
        <w:rPr>
          <w:rFonts w:ascii="Calibri" w:hAnsi="Calibri"/>
          <w:color w:val="000000"/>
          <w:sz w:val="22"/>
        </w:rPr>
        <w:t xml:space="preserve"> Edinburgh CT and genetic criteria</w:t>
      </w:r>
    </w:p>
    <w:p>
      <w:pPr>
        <w:spacing w:before="0" w:after="120" w:line="300" w:lineRule="auto"/>
      </w:pPr>
      <w:r>
        <w:rPr>
          <w:rFonts w:ascii="Calibri" w:hAnsi="Calibri"/>
          <w:b/>
          <w:color w:val="000000"/>
          <w:sz w:val="22"/>
        </w:rPr>
        <w:t>Bias relevance:</w:t>
      </w:r>
      <w:r>
        <w:rPr>
          <w:rFonts w:ascii="Calibri" w:hAnsi="Calibri"/>
          <w:color w:val="000000"/>
          <w:sz w:val="22"/>
        </w:rPr>
        <w:t xml:space="preserve"> Applies to lobar ICH, not cognitive or asymptomatic presentations</w:t>
      </w:r>
    </w:p>
    <w:p>
      <w:pPr>
        <w:spacing w:before="0" w:after="120" w:line="300" w:lineRule="auto"/>
      </w:pPr>
      <w:r>
        <w:rPr>
          <w:rFonts w:ascii="Calibri" w:hAnsi="Calibri"/>
          <w:b/>
          <w:color w:val="000000"/>
          <w:sz w:val="22"/>
        </w:rPr>
        <w:t>Independence note:</w:t>
      </w:r>
      <w:r>
        <w:rPr>
          <w:rFonts w:ascii="Calibri" w:hAnsi="Calibri"/>
          <w:color w:val="000000"/>
          <w:sz w:val="22"/>
        </w:rPr>
        <w:t xml:space="preserve"> Distinct context from MRI-based Boston criteria</w:t>
      </w:r>
    </w:p>
    <w:p>
      <w:bookmarkStart w:id="121" w:name="section_112"/>
      <w:pPr>
        <w:pStyle w:val="Heading2"/>
      </w:pPr>
      <w:r>
        <w:t>COH008 | Specialist CAA-ri comparative cohort</w:t>
      </w:r>
      <w:bookmarkEnd w:id="121"/>
    </w:p>
    <w:p>
      <w:pPr>
        <w:spacing w:before="0" w:after="120" w:line="300" w:lineRule="auto"/>
      </w:pPr>
      <w:r>
        <w:rPr>
          <w:rFonts w:ascii="Calibri" w:hAnsi="Calibri"/>
          <w:b/>
          <w:color w:val="000000"/>
          <w:sz w:val="22"/>
        </w:rPr>
        <w:t>Recruitment:</w:t>
      </w:r>
      <w:r>
        <w:rPr>
          <w:rFonts w:ascii="Calibri" w:hAnsi="Calibri"/>
          <w:color w:val="000000"/>
          <w:sz w:val="22"/>
        </w:rPr>
        <w:t xml:space="preserve"> CAA-ri and non-inflammatory CAA specialty care</w:t>
      </w:r>
    </w:p>
    <w:p>
      <w:pPr>
        <w:spacing w:before="0" w:after="120" w:line="300" w:lineRule="auto"/>
      </w:pPr>
      <w:r>
        <w:rPr>
          <w:rFonts w:ascii="Calibri" w:hAnsi="Calibri"/>
          <w:b/>
          <w:color w:val="000000"/>
          <w:sz w:val="22"/>
        </w:rPr>
        <w:t>Known reuse:</w:t>
      </w:r>
      <w:r>
        <w:rPr>
          <w:rFonts w:ascii="Calibri" w:hAnsi="Calibri"/>
          <w:color w:val="000000"/>
          <w:sz w:val="22"/>
        </w:rPr>
        <w:t xml:space="preserve"> CAA-ri spectrum characterization</w:t>
      </w:r>
    </w:p>
    <w:p>
      <w:pPr>
        <w:spacing w:before="0" w:after="120" w:line="300" w:lineRule="auto"/>
      </w:pPr>
      <w:r>
        <w:rPr>
          <w:rFonts w:ascii="Calibri" w:hAnsi="Calibri"/>
          <w:b/>
          <w:color w:val="000000"/>
          <w:sz w:val="22"/>
        </w:rPr>
        <w:t>Bias relevance:</w:t>
      </w:r>
      <w:r>
        <w:rPr>
          <w:rFonts w:ascii="Calibri" w:hAnsi="Calibri"/>
          <w:color w:val="000000"/>
          <w:sz w:val="22"/>
        </w:rPr>
        <w:t xml:space="preserve"> Referral enrichment and incorporation of imaging into diagnosis</w:t>
      </w:r>
    </w:p>
    <w:p>
      <w:pPr>
        <w:spacing w:before="0" w:after="120" w:line="300" w:lineRule="auto"/>
      </w:pPr>
      <w:r>
        <w:rPr>
          <w:rFonts w:ascii="Calibri" w:hAnsi="Calibri"/>
          <w:b/>
          <w:color w:val="000000"/>
          <w:sz w:val="22"/>
        </w:rPr>
        <w:t>Independence note:</w:t>
      </w:r>
      <w:r>
        <w:rPr>
          <w:rFonts w:ascii="Calibri" w:hAnsi="Calibri"/>
          <w:color w:val="000000"/>
          <w:sz w:val="22"/>
        </w:rPr>
        <w:t xml:space="preserve"> Useful comparative phenotype evidence; not population accuracy</w:t>
      </w:r>
    </w:p>
    <w:p>
      <w:bookmarkStart w:id="122" w:name="section_113"/>
      <w:pPr>
        <w:pStyle w:val="Heading2"/>
      </w:pPr>
      <w:r>
        <w:t>COH009 | International postmortem CAA protocol network</w:t>
      </w:r>
      <w:bookmarkEnd w:id="122"/>
    </w:p>
    <w:p>
      <w:pPr>
        <w:spacing w:before="0" w:after="120" w:line="300" w:lineRule="auto"/>
      </w:pPr>
      <w:r>
        <w:rPr>
          <w:rFonts w:ascii="Calibri" w:hAnsi="Calibri"/>
          <w:b/>
          <w:color w:val="000000"/>
          <w:sz w:val="22"/>
        </w:rPr>
        <w:t>Recruitment:</w:t>
      </w:r>
      <w:r>
        <w:rPr>
          <w:rFonts w:ascii="Calibri" w:hAnsi="Calibri"/>
          <w:color w:val="000000"/>
          <w:sz w:val="22"/>
        </w:rPr>
        <w:t xml:space="preserve"> Eleven neuropathology groups</w:t>
      </w:r>
    </w:p>
    <w:p>
      <w:pPr>
        <w:spacing w:before="0" w:after="120" w:line="300" w:lineRule="auto"/>
      </w:pPr>
      <w:r>
        <w:rPr>
          <w:rFonts w:ascii="Calibri" w:hAnsi="Calibri"/>
          <w:b/>
          <w:color w:val="000000"/>
          <w:sz w:val="22"/>
        </w:rPr>
        <w:t>Known reuse:</w:t>
      </w:r>
      <w:r>
        <w:rPr>
          <w:rFonts w:ascii="Calibri" w:hAnsi="Calibri"/>
          <w:color w:val="000000"/>
          <w:sz w:val="22"/>
        </w:rPr>
        <w:t xml:space="preserve"> Consensus protocol development, appraisal, and validation</w:t>
      </w:r>
    </w:p>
    <w:p>
      <w:pPr>
        <w:spacing w:before="0" w:after="120" w:line="300" w:lineRule="auto"/>
      </w:pPr>
      <w:r>
        <w:rPr>
          <w:rFonts w:ascii="Calibri" w:hAnsi="Calibri"/>
          <w:b/>
          <w:color w:val="000000"/>
          <w:sz w:val="22"/>
        </w:rPr>
        <w:t>Bias relevance:</w:t>
      </w:r>
      <w:r>
        <w:rPr>
          <w:rFonts w:ascii="Calibri" w:hAnsi="Calibri"/>
          <w:color w:val="000000"/>
          <w:sz w:val="22"/>
        </w:rPr>
        <w:t xml:space="preserve"> Consensus improves comparability but does not eliminate sampling error</w:t>
      </w:r>
    </w:p>
    <w:p>
      <w:pPr>
        <w:spacing w:before="0" w:after="120" w:line="300" w:lineRule="auto"/>
      </w:pPr>
      <w:r>
        <w:rPr>
          <w:rFonts w:ascii="Calibri" w:hAnsi="Calibri"/>
          <w:b/>
          <w:color w:val="000000"/>
          <w:sz w:val="22"/>
        </w:rPr>
        <w:t>Independence note:</w:t>
      </w:r>
      <w:r>
        <w:rPr>
          <w:rFonts w:ascii="Calibri" w:hAnsi="Calibri"/>
          <w:color w:val="000000"/>
          <w:sz w:val="22"/>
        </w:rPr>
        <w:t xml:space="preserve"> Method paper rather than participant-outcome cohort</w:t>
      </w:r>
    </w:p>
    <w:p>
      <w:bookmarkStart w:id="123" w:name="section_114"/>
      <w:pPr>
        <w:pStyle w:val="Heading2"/>
      </w:pPr>
      <w:r>
        <w:t>COH010 | Hereditary CAA family cohorts</w:t>
      </w:r>
      <w:bookmarkEnd w:id="123"/>
    </w:p>
    <w:p>
      <w:pPr>
        <w:spacing w:before="0" w:after="120" w:line="300" w:lineRule="auto"/>
      </w:pPr>
      <w:r>
        <w:rPr>
          <w:rFonts w:ascii="Calibri" w:hAnsi="Calibri"/>
          <w:b/>
          <w:color w:val="000000"/>
          <w:sz w:val="22"/>
        </w:rPr>
        <w:t>Recruitment:</w:t>
      </w:r>
      <w:r>
        <w:rPr>
          <w:rFonts w:ascii="Calibri" w:hAnsi="Calibri"/>
          <w:color w:val="000000"/>
          <w:sz w:val="22"/>
        </w:rPr>
        <w:t xml:space="preserve"> Mutation-defined families, including Dutch-type CAA</w:t>
      </w:r>
    </w:p>
    <w:p>
      <w:pPr>
        <w:spacing w:before="0" w:after="120" w:line="300" w:lineRule="auto"/>
      </w:pPr>
      <w:r>
        <w:rPr>
          <w:rFonts w:ascii="Calibri" w:hAnsi="Calibri"/>
          <w:b/>
          <w:color w:val="000000"/>
          <w:sz w:val="22"/>
        </w:rPr>
        <w:t>Known reuse:</w:t>
      </w:r>
      <w:r>
        <w:rPr>
          <w:rFonts w:ascii="Calibri" w:hAnsi="Calibri"/>
          <w:color w:val="000000"/>
          <w:sz w:val="22"/>
        </w:rPr>
        <w:t xml:space="preserve"> Natural history, risk factors, and mechanistic staging</w:t>
      </w:r>
    </w:p>
    <w:p>
      <w:pPr>
        <w:spacing w:before="0" w:after="120" w:line="300" w:lineRule="auto"/>
      </w:pPr>
      <w:r>
        <w:rPr>
          <w:rFonts w:ascii="Calibri" w:hAnsi="Calibri"/>
          <w:b/>
          <w:color w:val="000000"/>
          <w:sz w:val="22"/>
        </w:rPr>
        <w:t>Bias relevance:</w:t>
      </w:r>
      <w:r>
        <w:rPr>
          <w:rFonts w:ascii="Calibri" w:hAnsi="Calibri"/>
          <w:color w:val="000000"/>
          <w:sz w:val="22"/>
        </w:rPr>
        <w:t xml:space="preserve"> Founder effects, mutation specificity, younger age, and limited numbers</w:t>
      </w:r>
    </w:p>
    <w:p>
      <w:pPr>
        <w:spacing w:before="0" w:after="120" w:line="300" w:lineRule="auto"/>
      </w:pPr>
      <w:r>
        <w:rPr>
          <w:rFonts w:ascii="Calibri" w:hAnsi="Calibri"/>
          <w:b/>
          <w:color w:val="000000"/>
          <w:sz w:val="22"/>
        </w:rPr>
        <w:t>Independence note:</w:t>
      </w:r>
      <w:r>
        <w:rPr>
          <w:rFonts w:ascii="Calibri" w:hAnsi="Calibri"/>
          <w:color w:val="000000"/>
          <w:sz w:val="22"/>
        </w:rPr>
        <w:t xml:space="preserve"> Different mutations should not be pooled without biological justification</w:t>
      </w:r>
    </w:p>
    <w:p>
      <w:pPr>
        <w:keepNext/>
        <w:spacing w:before="160" w:after="60"/>
        <w:jc w:val="center"/>
      </w:pPr>
      <w:r>
        <w:drawing>
          <wp:inline xmlns:a="http://schemas.openxmlformats.org/drawingml/2006/main" xmlns:pic="http://schemas.openxmlformats.org/drawingml/2006/picture">
            <wp:extent cx="5715000" cy="3214688"/>
            <wp:docPr id="12" name="Picture 12" descr="Cohort lineage diagram distinguishing repeated publications from independent external replication." title="Cohort lineage diagram distinguishing repeated publications from independent external replication"/>
            <wp:cNvGraphicFramePr>
              <a:graphicFrameLocks noChangeAspect="1"/>
            </wp:cNvGraphicFramePr>
            <a:graphic>
              <a:graphicData uri="http://schemas.openxmlformats.org/drawingml/2006/picture">
                <pic:pic>
                  <pic:nvPicPr>
                    <pic:cNvPr id="0" name="figure_11_cohort_lineage.png"/>
                    <pic:cNvPicPr/>
                  </pic:nvPicPr>
                  <pic:blipFill>
                    <a:blip r:embed="rId43"/>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12. </w:t>
      </w:r>
      <w:r>
        <w:rPr>
          <w:rFonts w:ascii="Calibri" w:hAnsi="Calibri"/>
          <w:i/>
          <w:color w:val="5A626C"/>
          <w:sz w:val="19"/>
        </w:rPr>
        <w:t>Cohort lineage diagram distinguishing repeated publications from independent external replication.</w:t>
      </w:r>
    </w:p>
    <w:p>
      <w:bookmarkStart w:id="124" w:name="section_115"/>
      <w:pPr>
        <w:pStyle w:val="Heading1"/>
      </w:pPr>
      <w:r>
        <w:t>Diagnostic Evidence Profiles</w:t>
      </w:r>
      <w:bookmarkEnd w:id="124"/>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Every diagnostic criterion or biomarker is evaluated along a validation chain. Strength at one link does not substitute for another.</w:t>
      </w:r>
    </w:p>
    <w:p>
      <w:bookmarkStart w:id="125" w:name="section_116"/>
      <w:pPr>
        <w:pStyle w:val="Heading2"/>
      </w:pPr>
      <w:r>
        <w:t>DP001 | Boston criteria v2.0</w:t>
      </w:r>
      <w:bookmarkEnd w:id="125"/>
    </w:p>
    <w:p>
      <w:pPr>
        <w:spacing w:before="0" w:after="120" w:line="300" w:lineRule="auto"/>
      </w:pPr>
      <w:r>
        <w:rPr>
          <w:rFonts w:ascii="Calibri" w:hAnsi="Calibri"/>
          <w:b/>
          <w:color w:val="000000"/>
          <w:sz w:val="22"/>
        </w:rPr>
        <w:t>Context:</w:t>
      </w:r>
      <w:r>
        <w:rPr>
          <w:rFonts w:ascii="Calibri" w:hAnsi="Calibri"/>
          <w:color w:val="000000"/>
          <w:sz w:val="22"/>
        </w:rPr>
        <w:t xml:space="preserve"> Etiologic classification of sporadic CAA in defined age/presentation contexts</w:t>
      </w:r>
    </w:p>
    <w:p>
      <w:pPr>
        <w:spacing w:before="0" w:after="120" w:line="300" w:lineRule="auto"/>
      </w:pPr>
      <w:r>
        <w:rPr>
          <w:rFonts w:ascii="Calibri" w:hAnsi="Calibri"/>
          <w:b/>
          <w:color w:val="000000"/>
          <w:sz w:val="22"/>
        </w:rPr>
        <w:t>Technical:</w:t>
      </w:r>
      <w:r>
        <w:rPr>
          <w:rFonts w:ascii="Calibri" w:hAnsi="Calibri"/>
          <w:color w:val="000000"/>
          <w:sz w:val="22"/>
        </w:rPr>
        <w:t xml:space="preserve"> Depends on high-quality hemorrhagic and nonhemorrhagic MRI marker rating</w:t>
      </w:r>
    </w:p>
    <w:p>
      <w:pPr>
        <w:spacing w:before="0" w:after="120" w:line="300" w:lineRule="auto"/>
      </w:pPr>
      <w:r>
        <w:rPr>
          <w:rFonts w:ascii="Calibri" w:hAnsi="Calibri"/>
          <w:b/>
          <w:color w:val="000000"/>
          <w:sz w:val="22"/>
        </w:rPr>
        <w:t>Biological:</w:t>
      </w:r>
      <w:r>
        <w:rPr>
          <w:rFonts w:ascii="Calibri" w:hAnsi="Calibri"/>
          <w:color w:val="000000"/>
          <w:sz w:val="22"/>
        </w:rPr>
        <w:t xml:space="preserve"> Markers are associated with CAA but are not individually pathognomonic</w:t>
      </w:r>
    </w:p>
    <w:p>
      <w:pPr>
        <w:spacing w:before="0" w:after="120" w:line="300" w:lineRule="auto"/>
      </w:pPr>
      <w:r>
        <w:rPr>
          <w:rFonts w:ascii="Calibri" w:hAnsi="Calibri"/>
          <w:b/>
          <w:color w:val="000000"/>
          <w:sz w:val="22"/>
        </w:rPr>
        <w:t>Diagnostic:</w:t>
      </w:r>
      <w:r>
        <w:rPr>
          <w:rFonts w:ascii="Calibri" w:hAnsi="Calibri"/>
          <w:color w:val="000000"/>
          <w:sz w:val="22"/>
        </w:rPr>
        <w:t xml:space="preserve"> Strongest in symptomatic tissue-selected cohorts; lower in community and nonhemorrhagic validations</w:t>
      </w:r>
    </w:p>
    <w:p>
      <w:pPr>
        <w:spacing w:before="0" w:after="120" w:line="300" w:lineRule="auto"/>
      </w:pPr>
      <w:r>
        <w:rPr>
          <w:rFonts w:ascii="Calibri" w:hAnsi="Calibri"/>
          <w:b/>
          <w:color w:val="000000"/>
          <w:sz w:val="22"/>
        </w:rPr>
        <w:t>Prognostic:</w:t>
      </w:r>
      <w:r>
        <w:rPr>
          <w:rFonts w:ascii="Calibri" w:hAnsi="Calibri"/>
          <w:color w:val="000000"/>
          <w:sz w:val="22"/>
        </w:rPr>
        <w:t xml:space="preserve"> Criteria category is not itself a complete outcome-risk model</w:t>
      </w:r>
    </w:p>
    <w:p>
      <w:pPr>
        <w:spacing w:before="0" w:after="120" w:line="300" w:lineRule="auto"/>
      </w:pPr>
      <w:r>
        <w:rPr>
          <w:rFonts w:ascii="Calibri" w:hAnsi="Calibri"/>
          <w:b/>
          <w:color w:val="000000"/>
          <w:sz w:val="22"/>
        </w:rPr>
        <w:t>Incremental value:</w:t>
      </w:r>
      <w:r>
        <w:rPr>
          <w:rFonts w:ascii="Calibri" w:hAnsi="Calibri"/>
          <w:color w:val="000000"/>
          <w:sz w:val="22"/>
        </w:rPr>
        <w:t xml:space="preserve"> Adds nonhemorrhagic markers over earlier versions; context-dependent</w:t>
      </w:r>
    </w:p>
    <w:p>
      <w:pPr>
        <w:spacing w:before="0" w:after="120" w:line="300" w:lineRule="auto"/>
      </w:pPr>
      <w:r>
        <w:rPr>
          <w:rFonts w:ascii="Calibri" w:hAnsi="Calibri"/>
          <w:b/>
          <w:color w:val="000000"/>
          <w:sz w:val="22"/>
        </w:rPr>
        <w:t>Transportability:</w:t>
      </w:r>
      <w:r>
        <w:rPr>
          <w:rFonts w:ascii="Calibri" w:hAnsi="Calibri"/>
          <w:color w:val="000000"/>
          <w:sz w:val="22"/>
        </w:rPr>
        <w:t xml:space="preserve"> Limited outside populations resembling validation cohorts</w:t>
      </w:r>
    </w:p>
    <w:p>
      <w:pPr>
        <w:spacing w:before="0" w:after="120" w:line="300" w:lineRule="auto"/>
      </w:pPr>
      <w:r>
        <w:rPr>
          <w:rFonts w:ascii="Calibri" w:hAnsi="Calibri"/>
          <w:b/>
          <w:color w:val="000000"/>
          <w:sz w:val="22"/>
        </w:rPr>
        <w:t>Clinical utility:</w:t>
      </w:r>
      <w:r>
        <w:rPr>
          <w:rFonts w:ascii="Calibri" w:hAnsi="Calibri"/>
          <w:color w:val="000000"/>
          <w:sz w:val="22"/>
        </w:rPr>
        <w:t xml:space="preserve"> Useful diagnostic framework when applied within intended context</w:t>
      </w:r>
    </w:p>
    <w:p>
      <w:pPr>
        <w:spacing w:before="0" w:after="120" w:line="300" w:lineRule="auto"/>
      </w:pPr>
      <w:r>
        <w:rPr>
          <w:rFonts w:ascii="Calibri" w:hAnsi="Calibri"/>
          <w:b/>
          <w:color w:val="000000"/>
          <w:sz w:val="22"/>
        </w:rPr>
        <w:t>Failure mode:</w:t>
      </w:r>
      <w:r>
        <w:rPr>
          <w:rFonts w:ascii="Calibri" w:hAnsi="Calibri"/>
          <w:color w:val="000000"/>
          <w:sz w:val="22"/>
        </w:rPr>
        <w:t xml:space="preserve"> Spectrum effects, mixed pathology, inadequate MRI, and using criteria as universal screening</w:t>
      </w:r>
    </w:p>
    <w:p>
      <w:pPr>
        <w:spacing w:before="0" w:after="120" w:line="300" w:lineRule="auto"/>
      </w:pPr>
      <w:r>
        <w:rPr>
          <w:rFonts w:ascii="Calibri" w:hAnsi="Calibri"/>
          <w:b/>
          <w:color w:val="000000"/>
          <w:sz w:val="22"/>
        </w:rPr>
        <w:t>Next validation:</w:t>
      </w:r>
      <w:r>
        <w:rPr>
          <w:rFonts w:ascii="Calibri" w:hAnsi="Calibri"/>
          <w:color w:val="000000"/>
          <w:sz w:val="22"/>
        </w:rPr>
        <w:t xml:space="preserve"> Prospective presentation-specific external validation with full reference standard</w:t>
      </w:r>
    </w:p>
    <w:p>
      <w:bookmarkStart w:id="126" w:name="section_117"/>
      <w:pPr>
        <w:pStyle w:val="Heading2"/>
      </w:pPr>
      <w:r>
        <w:t>DP002 | ARTS</w:t>
      </w:r>
      <w:bookmarkEnd w:id="126"/>
    </w:p>
    <w:p>
      <w:pPr>
        <w:spacing w:before="0" w:after="120" w:line="300" w:lineRule="auto"/>
      </w:pPr>
      <w:r>
        <w:rPr>
          <w:rFonts w:ascii="Calibri" w:hAnsi="Calibri"/>
          <w:b/>
          <w:color w:val="000000"/>
          <w:sz w:val="22"/>
        </w:rPr>
        <w:t>Context:</w:t>
      </w:r>
      <w:r>
        <w:rPr>
          <w:rFonts w:ascii="Calibri" w:hAnsi="Calibri"/>
          <w:color w:val="000000"/>
          <w:sz w:val="22"/>
        </w:rPr>
        <w:t xml:space="preserve"> Research prediction of pathology-linked arteriolosclerosis risk</w:t>
      </w:r>
    </w:p>
    <w:p>
      <w:pPr>
        <w:spacing w:before="0" w:after="120" w:line="300" w:lineRule="auto"/>
      </w:pPr>
      <w:r>
        <w:rPr>
          <w:rFonts w:ascii="Calibri" w:hAnsi="Calibri"/>
          <w:b/>
          <w:color w:val="000000"/>
          <w:sz w:val="22"/>
        </w:rPr>
        <w:t>Technical:</w:t>
      </w:r>
      <w:r>
        <w:rPr>
          <w:rFonts w:ascii="Calibri" w:hAnsi="Calibri"/>
          <w:color w:val="000000"/>
          <w:sz w:val="22"/>
        </w:rPr>
        <w:t xml:space="preserve"> Promising repeatability evidence, including conference-level validation</w:t>
      </w:r>
    </w:p>
    <w:p>
      <w:pPr>
        <w:spacing w:before="0" w:after="120" w:line="300" w:lineRule="auto"/>
      </w:pPr>
      <w:r>
        <w:rPr>
          <w:rFonts w:ascii="Calibri" w:hAnsi="Calibri"/>
          <w:b/>
          <w:color w:val="000000"/>
          <w:sz w:val="22"/>
        </w:rPr>
        <w:t>Biological:</w:t>
      </w:r>
      <w:r>
        <w:rPr>
          <w:rFonts w:ascii="Calibri" w:hAnsi="Calibri"/>
          <w:color w:val="000000"/>
          <w:sz w:val="22"/>
        </w:rPr>
        <w:t xml:space="preserve"> Development linked MRI/demographic features to autopsy pathology</w:t>
      </w:r>
    </w:p>
    <w:p>
      <w:pPr>
        <w:spacing w:before="0" w:after="120" w:line="300" w:lineRule="auto"/>
      </w:pPr>
      <w:r>
        <w:rPr>
          <w:rFonts w:ascii="Calibri" w:hAnsi="Calibri"/>
          <w:b/>
          <w:color w:val="000000"/>
          <w:sz w:val="22"/>
        </w:rPr>
        <w:t>Diagnostic:</w:t>
      </w:r>
      <w:r>
        <w:rPr>
          <w:rFonts w:ascii="Calibri" w:hAnsi="Calibri"/>
          <w:color w:val="000000"/>
          <w:sz w:val="22"/>
        </w:rPr>
        <w:t xml:space="preserve"> Development AUC reported; independent external pathology accuracy not established</w:t>
      </w:r>
    </w:p>
    <w:p>
      <w:pPr>
        <w:spacing w:before="0" w:after="120" w:line="300" w:lineRule="auto"/>
      </w:pPr>
      <w:r>
        <w:rPr>
          <w:rFonts w:ascii="Calibri" w:hAnsi="Calibri"/>
          <w:b/>
          <w:color w:val="000000"/>
          <w:sz w:val="22"/>
        </w:rPr>
        <w:t>Prognostic:</w:t>
      </w:r>
      <w:r>
        <w:rPr>
          <w:rFonts w:ascii="Calibri" w:hAnsi="Calibri"/>
          <w:color w:val="000000"/>
          <w:sz w:val="22"/>
        </w:rPr>
        <w:t xml:space="preserve"> Associations with cognition and vascular outcomes reported</w:t>
      </w:r>
    </w:p>
    <w:p>
      <w:pPr>
        <w:spacing w:before="0" w:after="120" w:line="300" w:lineRule="auto"/>
      </w:pPr>
      <w:r>
        <w:rPr>
          <w:rFonts w:ascii="Calibri" w:hAnsi="Calibri"/>
          <w:b/>
          <w:color w:val="000000"/>
          <w:sz w:val="22"/>
        </w:rPr>
        <w:t>Incremental value:</w:t>
      </w:r>
      <w:r>
        <w:rPr>
          <w:rFonts w:ascii="Calibri" w:hAnsi="Calibri"/>
          <w:color w:val="000000"/>
          <w:sz w:val="22"/>
        </w:rPr>
        <w:t xml:space="preserve"> Not yet demonstrated against strong conventional baselines across independent cohorts</w:t>
      </w:r>
    </w:p>
    <w:p>
      <w:pPr>
        <w:spacing w:before="0" w:after="120" w:line="300" w:lineRule="auto"/>
      </w:pPr>
      <w:r>
        <w:rPr>
          <w:rFonts w:ascii="Calibri" w:hAnsi="Calibri"/>
          <w:b/>
          <w:color w:val="000000"/>
          <w:sz w:val="22"/>
        </w:rPr>
        <w:t>Transportability:</w:t>
      </w:r>
      <w:r>
        <w:rPr>
          <w:rFonts w:ascii="Calibri" w:hAnsi="Calibri"/>
          <w:color w:val="000000"/>
          <w:sz w:val="22"/>
        </w:rPr>
        <w:t xml:space="preserve"> Uncertain beyond ROSMAP/ADNI-related research settings</w:t>
      </w:r>
    </w:p>
    <w:p>
      <w:pPr>
        <w:spacing w:before="0" w:after="120" w:line="300" w:lineRule="auto"/>
      </w:pPr>
      <w:r>
        <w:rPr>
          <w:rFonts w:ascii="Calibri" w:hAnsi="Calibri"/>
          <w:b/>
          <w:color w:val="000000"/>
          <w:sz w:val="22"/>
        </w:rPr>
        <w:t>Clinical utility:</w:t>
      </w:r>
      <w:r>
        <w:rPr>
          <w:rFonts w:ascii="Calibri" w:hAnsi="Calibri"/>
          <w:color w:val="000000"/>
          <w:sz w:val="22"/>
        </w:rPr>
        <w:t xml:space="preserve"> Not established</w:t>
      </w:r>
    </w:p>
    <w:p>
      <w:pPr>
        <w:spacing w:before="0" w:after="120" w:line="300" w:lineRule="auto"/>
      </w:pPr>
      <w:r>
        <w:rPr>
          <w:rFonts w:ascii="Calibri" w:hAnsi="Calibri"/>
          <w:b/>
          <w:color w:val="000000"/>
          <w:sz w:val="22"/>
        </w:rPr>
        <w:t>Failure mode:</w:t>
      </w:r>
      <w:r>
        <w:rPr>
          <w:rFonts w:ascii="Calibri" w:hAnsi="Calibri"/>
          <w:color w:val="000000"/>
          <w:sz w:val="22"/>
        </w:rPr>
        <w:t xml:space="preserve"> Conflating reproducibility or outcome association with diagnostic validation</w:t>
      </w:r>
    </w:p>
    <w:p>
      <w:pPr>
        <w:spacing w:before="0" w:after="120" w:line="300" w:lineRule="auto"/>
      </w:pPr>
      <w:r>
        <w:rPr>
          <w:rFonts w:ascii="Calibri" w:hAnsi="Calibri"/>
          <w:b/>
          <w:color w:val="000000"/>
          <w:sz w:val="22"/>
        </w:rPr>
        <w:t>Next validation:</w:t>
      </w:r>
      <w:r>
        <w:rPr>
          <w:rFonts w:ascii="Calibri" w:hAnsi="Calibri"/>
          <w:color w:val="000000"/>
          <w:sz w:val="22"/>
        </w:rPr>
        <w:t xml:space="preserve"> Locked independent MRI-autopsy validation with calibration and decision analysis</w:t>
      </w:r>
    </w:p>
    <w:p>
      <w:bookmarkStart w:id="127" w:name="section_118"/>
      <w:pPr>
        <w:pStyle w:val="Heading2"/>
      </w:pPr>
      <w:r>
        <w:t>DP003 | CVR MRI</w:t>
      </w:r>
      <w:bookmarkEnd w:id="127"/>
    </w:p>
    <w:p>
      <w:pPr>
        <w:spacing w:before="0" w:after="120" w:line="300" w:lineRule="auto"/>
      </w:pPr>
      <w:r>
        <w:rPr>
          <w:rFonts w:ascii="Calibri" w:hAnsi="Calibri"/>
          <w:b/>
          <w:color w:val="000000"/>
          <w:sz w:val="22"/>
        </w:rPr>
        <w:t>Context:</w:t>
      </w:r>
      <w:r>
        <w:rPr>
          <w:rFonts w:ascii="Calibri" w:hAnsi="Calibri"/>
          <w:color w:val="000000"/>
          <w:sz w:val="22"/>
        </w:rPr>
        <w:t xml:space="preserve"> Physiological measurement of vascular reserve in SVD/VCID</w:t>
      </w:r>
    </w:p>
    <w:p>
      <w:pPr>
        <w:spacing w:before="0" w:after="120" w:line="300" w:lineRule="auto"/>
      </w:pPr>
      <w:r>
        <w:rPr>
          <w:rFonts w:ascii="Calibri" w:hAnsi="Calibri"/>
          <w:b/>
          <w:color w:val="000000"/>
          <w:sz w:val="22"/>
        </w:rPr>
        <w:t>Technical:</w:t>
      </w:r>
      <w:r>
        <w:rPr>
          <w:rFonts w:ascii="Calibri" w:hAnsi="Calibri"/>
          <w:color w:val="000000"/>
          <w:sz w:val="22"/>
        </w:rPr>
        <w:t xml:space="preserve"> Multisite protocol evidence exists; acquisition and gas delivery remain demanding</w:t>
      </w:r>
    </w:p>
    <w:p>
      <w:pPr>
        <w:spacing w:before="0" w:after="120" w:line="300" w:lineRule="auto"/>
      </w:pPr>
      <w:r>
        <w:rPr>
          <w:rFonts w:ascii="Calibri" w:hAnsi="Calibri"/>
          <w:b/>
          <w:color w:val="000000"/>
          <w:sz w:val="22"/>
        </w:rPr>
        <w:t>Biological:</w:t>
      </w:r>
      <w:r>
        <w:rPr>
          <w:rFonts w:ascii="Calibri" w:hAnsi="Calibri"/>
          <w:color w:val="000000"/>
          <w:sz w:val="22"/>
        </w:rPr>
        <w:t xml:space="preserve"> Measures vascular responsiveness and predicts some structural progression</w:t>
      </w:r>
    </w:p>
    <w:p>
      <w:pPr>
        <w:spacing w:before="0" w:after="120" w:line="300" w:lineRule="auto"/>
      </w:pPr>
      <w:r>
        <w:rPr>
          <w:rFonts w:ascii="Calibri" w:hAnsi="Calibri"/>
          <w:b/>
          <w:color w:val="000000"/>
          <w:sz w:val="22"/>
        </w:rPr>
        <w:t>Diagnostic:</w:t>
      </w:r>
      <w:r>
        <w:rPr>
          <w:rFonts w:ascii="Calibri" w:hAnsi="Calibri"/>
          <w:color w:val="000000"/>
          <w:sz w:val="22"/>
        </w:rPr>
        <w:t xml:space="preserve"> No pathology-specific CAA or arteriolosclerosis threshold</w:t>
      </w:r>
    </w:p>
    <w:p>
      <w:pPr>
        <w:spacing w:before="0" w:after="120" w:line="300" w:lineRule="auto"/>
      </w:pPr>
      <w:r>
        <w:rPr>
          <w:rFonts w:ascii="Calibri" w:hAnsi="Calibri"/>
          <w:b/>
          <w:color w:val="000000"/>
          <w:sz w:val="22"/>
        </w:rPr>
        <w:t>Prognostic:</w:t>
      </w:r>
      <w:r>
        <w:rPr>
          <w:rFonts w:ascii="Calibri" w:hAnsi="Calibri"/>
          <w:color w:val="000000"/>
          <w:sz w:val="22"/>
        </w:rPr>
        <w:t xml:space="preserve"> Associated with cognition and one-year WMH/PVS progression; not all clinical outcomes</w:t>
      </w:r>
    </w:p>
    <w:p>
      <w:pPr>
        <w:spacing w:before="0" w:after="120" w:line="300" w:lineRule="auto"/>
      </w:pPr>
      <w:r>
        <w:rPr>
          <w:rFonts w:ascii="Calibri" w:hAnsi="Calibri"/>
          <w:b/>
          <w:color w:val="000000"/>
          <w:sz w:val="22"/>
        </w:rPr>
        <w:t>Incremental value:</w:t>
      </w:r>
      <w:r>
        <w:rPr>
          <w:rFonts w:ascii="Calibri" w:hAnsi="Calibri"/>
          <w:color w:val="000000"/>
          <w:sz w:val="22"/>
        </w:rPr>
        <w:t xml:space="preserve"> Needs comparison with conventional MRI and vascular risks</w:t>
      </w:r>
    </w:p>
    <w:p>
      <w:pPr>
        <w:spacing w:before="0" w:after="120" w:line="300" w:lineRule="auto"/>
      </w:pPr>
      <w:r>
        <w:rPr>
          <w:rFonts w:ascii="Calibri" w:hAnsi="Calibri"/>
          <w:b/>
          <w:color w:val="000000"/>
          <w:sz w:val="22"/>
        </w:rPr>
        <w:t>Transportability:</w:t>
      </w:r>
      <w:r>
        <w:rPr>
          <w:rFonts w:ascii="Calibri" w:hAnsi="Calibri"/>
          <w:color w:val="000000"/>
          <w:sz w:val="22"/>
        </w:rPr>
        <w:t xml:space="preserve"> Promising across research sites; routine-care feasibility limited</w:t>
      </w:r>
    </w:p>
    <w:p>
      <w:pPr>
        <w:spacing w:before="0" w:after="120" w:line="300" w:lineRule="auto"/>
      </w:pPr>
      <w:r>
        <w:rPr>
          <w:rFonts w:ascii="Calibri" w:hAnsi="Calibri"/>
          <w:b/>
          <w:color w:val="000000"/>
          <w:sz w:val="22"/>
        </w:rPr>
        <w:t>Clinical utility:</w:t>
      </w:r>
      <w:r>
        <w:rPr>
          <w:rFonts w:ascii="Calibri" w:hAnsi="Calibri"/>
          <w:color w:val="000000"/>
          <w:sz w:val="22"/>
        </w:rPr>
        <w:t xml:space="preserve"> Research only</w:t>
      </w:r>
    </w:p>
    <w:p>
      <w:pPr>
        <w:spacing w:before="0" w:after="120" w:line="300" w:lineRule="auto"/>
      </w:pPr>
      <w:r>
        <w:rPr>
          <w:rFonts w:ascii="Calibri" w:hAnsi="Calibri"/>
          <w:b/>
          <w:color w:val="000000"/>
          <w:sz w:val="22"/>
        </w:rPr>
        <w:t>Failure mode:</w:t>
      </w:r>
      <w:r>
        <w:rPr>
          <w:rFonts w:ascii="Calibri" w:hAnsi="Calibri"/>
          <w:color w:val="000000"/>
          <w:sz w:val="22"/>
        </w:rPr>
        <w:t xml:space="preserve"> Treating a general vascular-function signal as an etiologic diagnosis</w:t>
      </w:r>
    </w:p>
    <w:p>
      <w:pPr>
        <w:spacing w:before="0" w:after="120" w:line="300" w:lineRule="auto"/>
      </w:pPr>
      <w:r>
        <w:rPr>
          <w:rFonts w:ascii="Calibri" w:hAnsi="Calibri"/>
          <w:b/>
          <w:color w:val="000000"/>
          <w:sz w:val="22"/>
        </w:rPr>
        <w:t>Next validation:</w:t>
      </w:r>
      <w:r>
        <w:rPr>
          <w:rFonts w:ascii="Calibri" w:hAnsi="Calibri"/>
          <w:color w:val="000000"/>
          <w:sz w:val="22"/>
        </w:rPr>
        <w:t xml:space="preserve"> Pathology-linked and intervention-responsive multisite qualification</w:t>
      </w:r>
    </w:p>
    <w:p>
      <w:bookmarkStart w:id="128" w:name="section_119"/>
      <w:pPr>
        <w:pStyle w:val="Heading2"/>
      </w:pPr>
      <w:r>
        <w:t>DP004 | Regional amyloid PET</w:t>
      </w:r>
      <w:bookmarkEnd w:id="128"/>
    </w:p>
    <w:p>
      <w:pPr>
        <w:spacing w:before="0" w:after="120" w:line="300" w:lineRule="auto"/>
      </w:pPr>
      <w:r>
        <w:rPr>
          <w:rFonts w:ascii="Calibri" w:hAnsi="Calibri"/>
          <w:b/>
          <w:color w:val="000000"/>
          <w:sz w:val="22"/>
        </w:rPr>
        <w:t>Context:</w:t>
      </w:r>
      <w:r>
        <w:rPr>
          <w:rFonts w:ascii="Calibri" w:hAnsi="Calibri"/>
          <w:color w:val="000000"/>
          <w:sz w:val="22"/>
        </w:rPr>
        <w:t xml:space="preserve"> Research differentiation of CAA, AD, and controls</w:t>
      </w:r>
    </w:p>
    <w:p>
      <w:pPr>
        <w:spacing w:before="0" w:after="120" w:line="300" w:lineRule="auto"/>
      </w:pPr>
      <w:r>
        <w:rPr>
          <w:rFonts w:ascii="Calibri" w:hAnsi="Calibri"/>
          <w:b/>
          <w:color w:val="000000"/>
          <w:sz w:val="22"/>
        </w:rPr>
        <w:t>Technical:</w:t>
      </w:r>
      <w:r>
        <w:rPr>
          <w:rFonts w:ascii="Calibri" w:hAnsi="Calibri"/>
          <w:color w:val="000000"/>
          <w:sz w:val="22"/>
        </w:rPr>
        <w:t xml:space="preserve"> Tracer and pipeline dependent</w:t>
      </w:r>
    </w:p>
    <w:p>
      <w:pPr>
        <w:spacing w:before="0" w:after="120" w:line="300" w:lineRule="auto"/>
      </w:pPr>
      <w:r>
        <w:rPr>
          <w:rFonts w:ascii="Calibri" w:hAnsi="Calibri"/>
          <w:b/>
          <w:color w:val="000000"/>
          <w:sz w:val="22"/>
        </w:rPr>
        <w:t>Biological:</w:t>
      </w:r>
      <w:r>
        <w:rPr>
          <w:rFonts w:ascii="Calibri" w:hAnsi="Calibri"/>
          <w:color w:val="000000"/>
          <w:sz w:val="22"/>
        </w:rPr>
        <w:t xml:space="preserve"> Detects fibrillar amyloid but vascular/parenchymal compartment assignment is indirect</w:t>
      </w:r>
    </w:p>
    <w:p>
      <w:pPr>
        <w:spacing w:before="0" w:after="120" w:line="300" w:lineRule="auto"/>
      </w:pPr>
      <w:r>
        <w:rPr>
          <w:rFonts w:ascii="Calibri" w:hAnsi="Calibri"/>
          <w:b/>
          <w:color w:val="000000"/>
          <w:sz w:val="22"/>
        </w:rPr>
        <w:t>Diagnostic:</w:t>
      </w:r>
      <w:r>
        <w:rPr>
          <w:rFonts w:ascii="Calibri" w:hAnsi="Calibri"/>
          <w:color w:val="000000"/>
          <w:sz w:val="22"/>
        </w:rPr>
        <w:t xml:space="preserve"> Group-level regional differences; no validated universal patient threshold</w:t>
      </w:r>
    </w:p>
    <w:p>
      <w:pPr>
        <w:spacing w:before="0" w:after="120" w:line="300" w:lineRule="auto"/>
      </w:pPr>
      <w:r>
        <w:rPr>
          <w:rFonts w:ascii="Calibri" w:hAnsi="Calibri"/>
          <w:b/>
          <w:color w:val="000000"/>
          <w:sz w:val="22"/>
        </w:rPr>
        <w:t>Prognostic:</w:t>
      </w:r>
      <w:r>
        <w:rPr>
          <w:rFonts w:ascii="Calibri" w:hAnsi="Calibri"/>
          <w:color w:val="000000"/>
          <w:sz w:val="22"/>
        </w:rPr>
        <w:t xml:space="preserve"> Insufficient for routine CAA prognosis</w:t>
      </w:r>
    </w:p>
    <w:p>
      <w:pPr>
        <w:spacing w:before="0" w:after="120" w:line="300" w:lineRule="auto"/>
      </w:pPr>
      <w:r>
        <w:rPr>
          <w:rFonts w:ascii="Calibri" w:hAnsi="Calibri"/>
          <w:b/>
          <w:color w:val="000000"/>
          <w:sz w:val="22"/>
        </w:rPr>
        <w:t>Incremental value:</w:t>
      </w:r>
      <w:r>
        <w:rPr>
          <w:rFonts w:ascii="Calibri" w:hAnsi="Calibri"/>
          <w:color w:val="000000"/>
          <w:sz w:val="22"/>
        </w:rPr>
        <w:t xml:space="preserve"> Unclear beyond MRI and AD biomarkers</w:t>
      </w:r>
    </w:p>
    <w:p>
      <w:pPr>
        <w:spacing w:before="0" w:after="120" w:line="300" w:lineRule="auto"/>
      </w:pPr>
      <w:r>
        <w:rPr>
          <w:rFonts w:ascii="Calibri" w:hAnsi="Calibri"/>
          <w:b/>
          <w:color w:val="000000"/>
          <w:sz w:val="22"/>
        </w:rPr>
        <w:t>Transportability:</w:t>
      </w:r>
      <w:r>
        <w:rPr>
          <w:rFonts w:ascii="Calibri" w:hAnsi="Calibri"/>
          <w:color w:val="000000"/>
          <w:sz w:val="22"/>
        </w:rPr>
        <w:t xml:space="preserve"> Limited by tracer, stage, and reference-standard heterogeneity</w:t>
      </w:r>
    </w:p>
    <w:p>
      <w:pPr>
        <w:spacing w:before="0" w:after="120" w:line="300" w:lineRule="auto"/>
      </w:pPr>
      <w:r>
        <w:rPr>
          <w:rFonts w:ascii="Calibri" w:hAnsi="Calibri"/>
          <w:b/>
          <w:color w:val="000000"/>
          <w:sz w:val="22"/>
        </w:rPr>
        <w:t>Clinical utility:</w:t>
      </w:r>
      <w:r>
        <w:rPr>
          <w:rFonts w:ascii="Calibri" w:hAnsi="Calibri"/>
          <w:color w:val="000000"/>
          <w:sz w:val="22"/>
        </w:rPr>
        <w:t xml:space="preserve"> Not standalone CAA diagnosis</w:t>
      </w:r>
    </w:p>
    <w:p>
      <w:pPr>
        <w:spacing w:before="0" w:after="120" w:line="300" w:lineRule="auto"/>
      </w:pPr>
      <w:r>
        <w:rPr>
          <w:rFonts w:ascii="Calibri" w:hAnsi="Calibri"/>
          <w:b/>
          <w:color w:val="000000"/>
          <w:sz w:val="22"/>
        </w:rPr>
        <w:t>Failure mode:</w:t>
      </w:r>
      <w:r>
        <w:rPr>
          <w:rFonts w:ascii="Calibri" w:hAnsi="Calibri"/>
          <w:color w:val="000000"/>
          <w:sz w:val="22"/>
        </w:rPr>
        <w:t xml:space="preserve"> Calling amyloid positivity vascular CAA in an older person with AD</w:t>
      </w:r>
    </w:p>
    <w:p>
      <w:pPr>
        <w:spacing w:before="0" w:after="120" w:line="300" w:lineRule="auto"/>
      </w:pPr>
      <w:r>
        <w:rPr>
          <w:rFonts w:ascii="Calibri" w:hAnsi="Calibri"/>
          <w:b/>
          <w:color w:val="000000"/>
          <w:sz w:val="22"/>
        </w:rPr>
        <w:t>Next validation:</w:t>
      </w:r>
      <w:r>
        <w:rPr>
          <w:rFonts w:ascii="Calibri" w:hAnsi="Calibri"/>
          <w:color w:val="000000"/>
          <w:sz w:val="22"/>
        </w:rPr>
        <w:t xml:space="preserve"> Multi-tracer PET-to-autopsy study with mixed-pathology modeling</w:t>
      </w:r>
    </w:p>
    <w:p>
      <w:bookmarkStart w:id="129" w:name="section_120"/>
      <w:pPr>
        <w:pStyle w:val="Heading2"/>
      </w:pPr>
      <w:r>
        <w:t>DP005 | CAA-ri clinicoradiologic criteria</w:t>
      </w:r>
      <w:bookmarkEnd w:id="129"/>
    </w:p>
    <w:p>
      <w:pPr>
        <w:spacing w:before="0" w:after="120" w:line="300" w:lineRule="auto"/>
      </w:pPr>
      <w:r>
        <w:rPr>
          <w:rFonts w:ascii="Calibri" w:hAnsi="Calibri"/>
          <w:b/>
          <w:color w:val="000000"/>
          <w:sz w:val="22"/>
        </w:rPr>
        <w:t>Context:</w:t>
      </w:r>
      <w:r>
        <w:rPr>
          <w:rFonts w:ascii="Calibri" w:hAnsi="Calibri"/>
          <w:color w:val="000000"/>
          <w:sz w:val="22"/>
        </w:rPr>
        <w:t xml:space="preserve"> Recognition of inflammatory CAA syndrome</w:t>
      </w:r>
    </w:p>
    <w:p>
      <w:pPr>
        <w:spacing w:before="0" w:after="120" w:line="300" w:lineRule="auto"/>
      </w:pPr>
      <w:r>
        <w:rPr>
          <w:rFonts w:ascii="Calibri" w:hAnsi="Calibri"/>
          <w:b/>
          <w:color w:val="000000"/>
          <w:sz w:val="22"/>
        </w:rPr>
        <w:t>Technical:</w:t>
      </w:r>
      <w:r>
        <w:rPr>
          <w:rFonts w:ascii="Calibri" w:hAnsi="Calibri"/>
          <w:color w:val="000000"/>
          <w:sz w:val="22"/>
        </w:rPr>
        <w:t xml:space="preserve"> Requires appropriate FLAIR, susceptibility, diffusion, and often contrast imaging</w:t>
      </w:r>
    </w:p>
    <w:p>
      <w:pPr>
        <w:spacing w:before="0" w:after="120" w:line="300" w:lineRule="auto"/>
      </w:pPr>
      <w:r>
        <w:rPr>
          <w:rFonts w:ascii="Calibri" w:hAnsi="Calibri"/>
          <w:b/>
          <w:color w:val="000000"/>
          <w:sz w:val="22"/>
        </w:rPr>
        <w:t>Biological:</w:t>
      </w:r>
      <w:r>
        <w:rPr>
          <w:rFonts w:ascii="Calibri" w:hAnsi="Calibri"/>
          <w:color w:val="000000"/>
          <w:sz w:val="22"/>
        </w:rPr>
        <w:t xml:space="preserve"> Phenotype reflects inflammatory/permeability injury around amyloid-laden vessels</w:t>
      </w:r>
    </w:p>
    <w:p>
      <w:pPr>
        <w:spacing w:before="0" w:after="120" w:line="300" w:lineRule="auto"/>
      </w:pPr>
      <w:r>
        <w:rPr>
          <w:rFonts w:ascii="Calibri" w:hAnsi="Calibri"/>
          <w:b/>
          <w:color w:val="000000"/>
          <w:sz w:val="22"/>
        </w:rPr>
        <w:t>Diagnostic:</w:t>
      </w:r>
      <w:r>
        <w:rPr>
          <w:rFonts w:ascii="Calibri" w:hAnsi="Calibri"/>
          <w:color w:val="000000"/>
          <w:sz w:val="22"/>
        </w:rPr>
        <w:t xml:space="preserve"> Validated in selected cohorts; mimic-rich external performance remains uncertain</w:t>
      </w:r>
    </w:p>
    <w:p>
      <w:pPr>
        <w:spacing w:before="0" w:after="120" w:line="300" w:lineRule="auto"/>
      </w:pPr>
      <w:r>
        <w:rPr>
          <w:rFonts w:ascii="Calibri" w:hAnsi="Calibri"/>
          <w:b/>
          <w:color w:val="000000"/>
          <w:sz w:val="22"/>
        </w:rPr>
        <w:t>Prognostic:</w:t>
      </w:r>
      <w:r>
        <w:rPr>
          <w:rFonts w:ascii="Calibri" w:hAnsi="Calibri"/>
          <w:color w:val="000000"/>
          <w:sz w:val="22"/>
        </w:rPr>
        <w:t xml:space="preserve"> Not a complete treatment-response or relapse model</w:t>
      </w:r>
    </w:p>
    <w:p>
      <w:pPr>
        <w:spacing w:before="0" w:after="120" w:line="300" w:lineRule="auto"/>
      </w:pPr>
      <w:r>
        <w:rPr>
          <w:rFonts w:ascii="Calibri" w:hAnsi="Calibri"/>
          <w:b/>
          <w:color w:val="000000"/>
          <w:sz w:val="22"/>
        </w:rPr>
        <w:t>Incremental value:</w:t>
      </w:r>
      <w:r>
        <w:rPr>
          <w:rFonts w:ascii="Calibri" w:hAnsi="Calibri"/>
          <w:color w:val="000000"/>
          <w:sz w:val="22"/>
        </w:rPr>
        <w:t xml:space="preserve"> Can reduce unnecessary biopsy when syndrome and imaging align</w:t>
      </w:r>
    </w:p>
    <w:p>
      <w:pPr>
        <w:spacing w:before="0" w:after="120" w:line="300" w:lineRule="auto"/>
      </w:pPr>
      <w:r>
        <w:rPr>
          <w:rFonts w:ascii="Calibri" w:hAnsi="Calibri"/>
          <w:b/>
          <w:color w:val="000000"/>
          <w:sz w:val="22"/>
        </w:rPr>
        <w:t>Transportability:</w:t>
      </w:r>
      <w:r>
        <w:rPr>
          <w:rFonts w:ascii="Calibri" w:hAnsi="Calibri"/>
          <w:color w:val="000000"/>
          <w:sz w:val="22"/>
        </w:rPr>
        <w:t xml:space="preserve"> Best in specialist contexts with alternative-diagnosis assessment</w:t>
      </w:r>
    </w:p>
    <w:p>
      <w:pPr>
        <w:spacing w:before="0" w:after="120" w:line="300" w:lineRule="auto"/>
      </w:pPr>
      <w:r>
        <w:rPr>
          <w:rFonts w:ascii="Calibri" w:hAnsi="Calibri"/>
          <w:b/>
          <w:color w:val="000000"/>
          <w:sz w:val="22"/>
        </w:rPr>
        <w:t>Clinical utility:</w:t>
      </w:r>
      <w:r>
        <w:rPr>
          <w:rFonts w:ascii="Calibri" w:hAnsi="Calibri"/>
          <w:color w:val="000000"/>
          <w:sz w:val="22"/>
        </w:rPr>
        <w:t xml:space="preserve"> Clinically useful with expert evaluation</w:t>
      </w:r>
    </w:p>
    <w:p>
      <w:pPr>
        <w:spacing w:before="0" w:after="120" w:line="300" w:lineRule="auto"/>
      </w:pPr>
      <w:r>
        <w:rPr>
          <w:rFonts w:ascii="Calibri" w:hAnsi="Calibri"/>
          <w:b/>
          <w:color w:val="000000"/>
          <w:sz w:val="22"/>
        </w:rPr>
        <w:t>Failure mode:</w:t>
      </w:r>
      <w:r>
        <w:rPr>
          <w:rFonts w:ascii="Calibri" w:hAnsi="Calibri"/>
          <w:color w:val="000000"/>
          <w:sz w:val="22"/>
        </w:rPr>
        <w:t xml:space="preserve"> Missing infection, neoplasm, PRES, vasculitis, or therapy-associated ARIA</w:t>
      </w:r>
    </w:p>
    <w:p>
      <w:pPr>
        <w:spacing w:before="0" w:after="120" w:line="300" w:lineRule="auto"/>
      </w:pPr>
      <w:r>
        <w:rPr>
          <w:rFonts w:ascii="Calibri" w:hAnsi="Calibri"/>
          <w:b/>
          <w:color w:val="000000"/>
          <w:sz w:val="22"/>
        </w:rPr>
        <w:t>Next validation:</w:t>
      </w:r>
      <w:r>
        <w:rPr>
          <w:rFonts w:ascii="Calibri" w:hAnsi="Calibri"/>
          <w:color w:val="000000"/>
          <w:sz w:val="22"/>
        </w:rPr>
        <w:t xml:space="preserve"> Prospective blinded accuracy study including realistic mimics</w:t>
      </w:r>
    </w:p>
    <w:p>
      <w:bookmarkStart w:id="130" w:name="section_121"/>
      <w:pPr>
        <w:pStyle w:val="Heading2"/>
      </w:pPr>
      <w:r>
        <w:t>DP006 | Total SVD score</w:t>
      </w:r>
      <w:bookmarkEnd w:id="130"/>
    </w:p>
    <w:p>
      <w:pPr>
        <w:spacing w:before="0" w:after="120" w:line="300" w:lineRule="auto"/>
      </w:pPr>
      <w:r>
        <w:rPr>
          <w:rFonts w:ascii="Calibri" w:hAnsi="Calibri"/>
          <w:b/>
          <w:color w:val="000000"/>
          <w:sz w:val="22"/>
        </w:rPr>
        <w:t>Context:</w:t>
      </w:r>
      <w:r>
        <w:rPr>
          <w:rFonts w:ascii="Calibri" w:hAnsi="Calibri"/>
          <w:color w:val="000000"/>
          <w:sz w:val="22"/>
        </w:rPr>
        <w:t xml:space="preserve"> Compact summary of MRI burden</w:t>
      </w:r>
    </w:p>
    <w:p>
      <w:pPr>
        <w:spacing w:before="0" w:after="120" w:line="300" w:lineRule="auto"/>
      </w:pPr>
      <w:r>
        <w:rPr>
          <w:rFonts w:ascii="Calibri" w:hAnsi="Calibri"/>
          <w:b/>
          <w:color w:val="000000"/>
          <w:sz w:val="22"/>
        </w:rPr>
        <w:t>Technical:</w:t>
      </w:r>
      <w:r>
        <w:rPr>
          <w:rFonts w:ascii="Calibri" w:hAnsi="Calibri"/>
          <w:color w:val="000000"/>
          <w:sz w:val="22"/>
        </w:rPr>
        <w:t xml:space="preserve"> Simple and reproducible when component ratings are reliable</w:t>
      </w:r>
    </w:p>
    <w:p>
      <w:pPr>
        <w:spacing w:before="0" w:after="120" w:line="300" w:lineRule="auto"/>
      </w:pPr>
      <w:r>
        <w:rPr>
          <w:rFonts w:ascii="Calibri" w:hAnsi="Calibri"/>
          <w:b/>
          <w:color w:val="000000"/>
          <w:sz w:val="22"/>
        </w:rPr>
        <w:t>Biological:</w:t>
      </w:r>
      <w:r>
        <w:rPr>
          <w:rFonts w:ascii="Calibri" w:hAnsi="Calibri"/>
          <w:color w:val="000000"/>
          <w:sz w:val="22"/>
        </w:rPr>
        <w:t xml:space="preserve"> Combines downstream injury markers from potentially different etiologies</w:t>
      </w:r>
    </w:p>
    <w:p>
      <w:pPr>
        <w:spacing w:before="0" w:after="120" w:line="300" w:lineRule="auto"/>
      </w:pPr>
      <w:r>
        <w:rPr>
          <w:rFonts w:ascii="Calibri" w:hAnsi="Calibri"/>
          <w:b/>
          <w:color w:val="000000"/>
          <w:sz w:val="22"/>
        </w:rPr>
        <w:t>Diagnostic:</w:t>
      </w:r>
      <w:r>
        <w:rPr>
          <w:rFonts w:ascii="Calibri" w:hAnsi="Calibri"/>
          <w:color w:val="000000"/>
          <w:sz w:val="22"/>
        </w:rPr>
        <w:t xml:space="preserve"> Not intended to diagnose a vessel pathology</w:t>
      </w:r>
    </w:p>
    <w:p>
      <w:pPr>
        <w:spacing w:before="0" w:after="120" w:line="300" w:lineRule="auto"/>
      </w:pPr>
      <w:r>
        <w:rPr>
          <w:rFonts w:ascii="Calibri" w:hAnsi="Calibri"/>
          <w:b/>
          <w:color w:val="000000"/>
          <w:sz w:val="22"/>
        </w:rPr>
        <w:t>Prognostic:</w:t>
      </w:r>
      <w:r>
        <w:rPr>
          <w:rFonts w:ascii="Calibri" w:hAnsi="Calibri"/>
          <w:color w:val="000000"/>
          <w:sz w:val="22"/>
        </w:rPr>
        <w:t xml:space="preserve"> Associated with clinical and network outcomes in several cohorts</w:t>
      </w:r>
    </w:p>
    <w:p>
      <w:pPr>
        <w:spacing w:before="0" w:after="120" w:line="300" w:lineRule="auto"/>
      </w:pPr>
      <w:r>
        <w:rPr>
          <w:rFonts w:ascii="Calibri" w:hAnsi="Calibri"/>
          <w:b/>
          <w:color w:val="000000"/>
          <w:sz w:val="22"/>
        </w:rPr>
        <w:t>Incremental value:</w:t>
      </w:r>
      <w:r>
        <w:rPr>
          <w:rFonts w:ascii="Calibri" w:hAnsi="Calibri"/>
          <w:color w:val="000000"/>
          <w:sz w:val="22"/>
        </w:rPr>
        <w:t xml:space="preserve"> May summarize burden efficiently but can discard spatial and continuous information</w:t>
      </w:r>
    </w:p>
    <w:p>
      <w:pPr>
        <w:spacing w:before="0" w:after="120" w:line="300" w:lineRule="auto"/>
      </w:pPr>
      <w:r>
        <w:rPr>
          <w:rFonts w:ascii="Calibri" w:hAnsi="Calibri"/>
          <w:b/>
          <w:color w:val="000000"/>
          <w:sz w:val="22"/>
        </w:rPr>
        <w:t>Transportability:</w:t>
      </w:r>
      <w:r>
        <w:rPr>
          <w:rFonts w:ascii="Calibri" w:hAnsi="Calibri"/>
          <w:color w:val="000000"/>
          <w:sz w:val="22"/>
        </w:rPr>
        <w:t xml:space="preserve"> Reasonable for burden comparisons with harmonized definitions</w:t>
      </w:r>
    </w:p>
    <w:p>
      <w:pPr>
        <w:spacing w:before="0" w:after="120" w:line="300" w:lineRule="auto"/>
      </w:pPr>
      <w:r>
        <w:rPr>
          <w:rFonts w:ascii="Calibri" w:hAnsi="Calibri"/>
          <w:b/>
          <w:color w:val="000000"/>
          <w:sz w:val="22"/>
        </w:rPr>
        <w:t>Clinical utility:</w:t>
      </w:r>
      <w:r>
        <w:rPr>
          <w:rFonts w:ascii="Calibri" w:hAnsi="Calibri"/>
          <w:color w:val="000000"/>
          <w:sz w:val="22"/>
        </w:rPr>
        <w:t xml:space="preserve"> Descriptive/prognostic research adjunct</w:t>
      </w:r>
    </w:p>
    <w:p>
      <w:pPr>
        <w:spacing w:before="0" w:after="120" w:line="300" w:lineRule="auto"/>
      </w:pPr>
      <w:r>
        <w:rPr>
          <w:rFonts w:ascii="Calibri" w:hAnsi="Calibri"/>
          <w:b/>
          <w:color w:val="000000"/>
          <w:sz w:val="22"/>
        </w:rPr>
        <w:t>Failure mode:</w:t>
      </w:r>
      <w:r>
        <w:rPr>
          <w:rFonts w:ascii="Calibri" w:hAnsi="Calibri"/>
          <w:color w:val="000000"/>
          <w:sz w:val="22"/>
        </w:rPr>
        <w:t xml:space="preserve"> Interpreting a burden score as CAA or arteriolosclerosis</w:t>
      </w:r>
    </w:p>
    <w:p>
      <w:pPr>
        <w:spacing w:before="0" w:after="120" w:line="300" w:lineRule="auto"/>
      </w:pPr>
      <w:r>
        <w:rPr>
          <w:rFonts w:ascii="Calibri" w:hAnsi="Calibri"/>
          <w:b/>
          <w:color w:val="000000"/>
          <w:sz w:val="22"/>
        </w:rPr>
        <w:t>Next validation:</w:t>
      </w:r>
      <w:r>
        <w:rPr>
          <w:rFonts w:ascii="Calibri" w:hAnsi="Calibri"/>
          <w:color w:val="000000"/>
          <w:sz w:val="22"/>
        </w:rPr>
        <w:t xml:space="preserve"> Outcome-specific comparison with continuous and spatial measures</w:t>
      </w:r>
    </w:p>
    <w:p>
      <w:bookmarkStart w:id="131" w:name="section_122"/>
      <w:pPr>
        <w:pStyle w:val="Heading2"/>
      </w:pPr>
      <w:r>
        <w:t>DP007 | ARIA monitoring framework</w:t>
      </w:r>
      <w:bookmarkEnd w:id="131"/>
    </w:p>
    <w:p>
      <w:pPr>
        <w:spacing w:before="0" w:after="120" w:line="300" w:lineRule="auto"/>
      </w:pPr>
      <w:r>
        <w:rPr>
          <w:rFonts w:ascii="Calibri" w:hAnsi="Calibri"/>
          <w:b/>
          <w:color w:val="000000"/>
          <w:sz w:val="22"/>
        </w:rPr>
        <w:t>Context:</w:t>
      </w:r>
      <w:r>
        <w:rPr>
          <w:rFonts w:ascii="Calibri" w:hAnsi="Calibri"/>
          <w:color w:val="000000"/>
          <w:sz w:val="22"/>
        </w:rPr>
        <w:t xml:space="preserve"> Safety monitoring during anti-amyloid therapy</w:t>
      </w:r>
    </w:p>
    <w:p>
      <w:pPr>
        <w:spacing w:before="0" w:after="120" w:line="300" w:lineRule="auto"/>
      </w:pPr>
      <w:r>
        <w:rPr>
          <w:rFonts w:ascii="Calibri" w:hAnsi="Calibri"/>
          <w:b/>
          <w:color w:val="000000"/>
          <w:sz w:val="22"/>
        </w:rPr>
        <w:t>Technical:</w:t>
      </w:r>
      <w:r>
        <w:rPr>
          <w:rFonts w:ascii="Calibri" w:hAnsi="Calibri"/>
          <w:color w:val="000000"/>
          <w:sz w:val="22"/>
        </w:rPr>
        <w:t xml:space="preserve"> Standardized serial MRI and communication are central</w:t>
      </w:r>
    </w:p>
    <w:p>
      <w:pPr>
        <w:spacing w:before="0" w:after="120" w:line="300" w:lineRule="auto"/>
      </w:pPr>
      <w:r>
        <w:rPr>
          <w:rFonts w:ascii="Calibri" w:hAnsi="Calibri"/>
          <w:b/>
          <w:color w:val="000000"/>
          <w:sz w:val="22"/>
        </w:rPr>
        <w:t>Biological:</w:t>
      </w:r>
      <w:r>
        <w:rPr>
          <w:rFonts w:ascii="Calibri" w:hAnsi="Calibri"/>
          <w:color w:val="000000"/>
          <w:sz w:val="22"/>
        </w:rPr>
        <w:t xml:space="preserve"> ARIA-E and ARIA-H reflect therapy-associated permeability/inflammatory and hemorrhagic injury</w:t>
      </w:r>
    </w:p>
    <w:p>
      <w:pPr>
        <w:spacing w:before="0" w:after="120" w:line="300" w:lineRule="auto"/>
      </w:pPr>
      <w:r>
        <w:rPr>
          <w:rFonts w:ascii="Calibri" w:hAnsi="Calibri"/>
          <w:b/>
          <w:color w:val="000000"/>
          <w:sz w:val="22"/>
        </w:rPr>
        <w:t>Diagnostic:</w:t>
      </w:r>
      <w:r>
        <w:rPr>
          <w:rFonts w:ascii="Calibri" w:hAnsi="Calibri"/>
          <w:color w:val="000000"/>
          <w:sz w:val="22"/>
        </w:rPr>
        <w:t xml:space="preserve"> Designed for treatment context, not spontaneous CAA diagnosis</w:t>
      </w:r>
    </w:p>
    <w:p>
      <w:pPr>
        <w:spacing w:before="0" w:after="120" w:line="300" w:lineRule="auto"/>
      </w:pPr>
      <w:r>
        <w:rPr>
          <w:rFonts w:ascii="Calibri" w:hAnsi="Calibri"/>
          <w:b/>
          <w:color w:val="000000"/>
          <w:sz w:val="22"/>
        </w:rPr>
        <w:t>Prognostic:</w:t>
      </w:r>
      <w:r>
        <w:rPr>
          <w:rFonts w:ascii="Calibri" w:hAnsi="Calibri"/>
          <w:color w:val="000000"/>
          <w:sz w:val="22"/>
        </w:rPr>
        <w:t xml:space="preserve"> Baseline markers inform risk; severe-event prediction remains limited</w:t>
      </w:r>
    </w:p>
    <w:p>
      <w:pPr>
        <w:spacing w:before="0" w:after="120" w:line="300" w:lineRule="auto"/>
      </w:pPr>
      <w:r>
        <w:rPr>
          <w:rFonts w:ascii="Calibri" w:hAnsi="Calibri"/>
          <w:b/>
          <w:color w:val="000000"/>
          <w:sz w:val="22"/>
        </w:rPr>
        <w:t>Incremental value:</w:t>
      </w:r>
      <w:r>
        <w:rPr>
          <w:rFonts w:ascii="Calibri" w:hAnsi="Calibri"/>
          <w:color w:val="000000"/>
          <w:sz w:val="22"/>
        </w:rPr>
        <w:t xml:space="preserve"> Provides operational safety value beyond unsystematic MRI review</w:t>
      </w:r>
    </w:p>
    <w:p>
      <w:pPr>
        <w:spacing w:before="0" w:after="120" w:line="300" w:lineRule="auto"/>
      </w:pPr>
      <w:r>
        <w:rPr>
          <w:rFonts w:ascii="Calibri" w:hAnsi="Calibri"/>
          <w:b/>
          <w:color w:val="000000"/>
          <w:sz w:val="22"/>
        </w:rPr>
        <w:t>Transportability:</w:t>
      </w:r>
      <w:r>
        <w:rPr>
          <w:rFonts w:ascii="Calibri" w:hAnsi="Calibri"/>
          <w:color w:val="000000"/>
          <w:sz w:val="22"/>
        </w:rPr>
        <w:t xml:space="preserve"> Therapy-, protocol-, and healthcare-system dependent</w:t>
      </w:r>
    </w:p>
    <w:p>
      <w:pPr>
        <w:spacing w:before="0" w:after="120" w:line="300" w:lineRule="auto"/>
      </w:pPr>
      <w:r>
        <w:rPr>
          <w:rFonts w:ascii="Calibri" w:hAnsi="Calibri"/>
          <w:b/>
          <w:color w:val="000000"/>
          <w:sz w:val="22"/>
        </w:rPr>
        <w:t>Clinical utility:</w:t>
      </w:r>
      <w:r>
        <w:rPr>
          <w:rFonts w:ascii="Calibri" w:hAnsi="Calibri"/>
          <w:color w:val="000000"/>
          <w:sz w:val="22"/>
        </w:rPr>
        <w:t xml:space="preserve"> High within current treatment pathways using drug-specific guidance</w:t>
      </w:r>
    </w:p>
    <w:p>
      <w:pPr>
        <w:spacing w:before="0" w:after="120" w:line="300" w:lineRule="auto"/>
      </w:pPr>
      <w:r>
        <w:rPr>
          <w:rFonts w:ascii="Calibri" w:hAnsi="Calibri"/>
          <w:b/>
          <w:color w:val="000000"/>
          <w:sz w:val="22"/>
        </w:rPr>
        <w:t>Failure mode:</w:t>
      </w:r>
      <w:r>
        <w:rPr>
          <w:rFonts w:ascii="Calibri" w:hAnsi="Calibri"/>
          <w:color w:val="000000"/>
          <w:sz w:val="22"/>
        </w:rPr>
        <w:t xml:space="preserve"> Confusing ARIA with infarct, PRES, spontaneous CAA-ri, or other mimics</w:t>
      </w:r>
    </w:p>
    <w:p>
      <w:pPr>
        <w:spacing w:before="0" w:after="120" w:line="300" w:lineRule="auto"/>
      </w:pPr>
      <w:r>
        <w:rPr>
          <w:rFonts w:ascii="Calibri" w:hAnsi="Calibri"/>
          <w:b/>
          <w:color w:val="000000"/>
          <w:sz w:val="22"/>
        </w:rPr>
        <w:t>Next validation:</w:t>
      </w:r>
      <w:r>
        <w:rPr>
          <w:rFonts w:ascii="Calibri" w:hAnsi="Calibri"/>
          <w:color w:val="000000"/>
          <w:sz w:val="22"/>
        </w:rPr>
        <w:t xml:space="preserve"> Large real-world registry with standardized MRI and adjudicated severe outcomes</w:t>
      </w:r>
    </w:p>
    <w:p>
      <w:pPr>
        <w:keepNext/>
        <w:spacing w:before="160" w:after="60"/>
        <w:jc w:val="center"/>
      </w:pPr>
      <w:r>
        <w:drawing>
          <wp:inline xmlns:a="http://schemas.openxmlformats.org/drawingml/2006/main" xmlns:pic="http://schemas.openxmlformats.org/drawingml/2006/picture">
            <wp:extent cx="5715000" cy="3214688"/>
            <wp:docPr id="13" name="Picture 13" descr="Six-link diagnostic validation chain from technical validity through clinical utility." title="Six-link diagnostic validation chain from technical validity through clinical utility"/>
            <wp:cNvGraphicFramePr>
              <a:graphicFrameLocks noChangeAspect="1"/>
            </wp:cNvGraphicFramePr>
            <a:graphic>
              <a:graphicData uri="http://schemas.openxmlformats.org/drawingml/2006/picture">
                <pic:pic>
                  <pic:nvPicPr>
                    <pic:cNvPr id="0" name="figure_12_validation_chain.png"/>
                    <pic:cNvPicPr/>
                  </pic:nvPicPr>
                  <pic:blipFill>
                    <a:blip r:embed="rId44"/>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13. </w:t>
      </w:r>
      <w:r>
        <w:rPr>
          <w:rFonts w:ascii="Calibri" w:hAnsi="Calibri"/>
          <w:i/>
          <w:color w:val="5A626C"/>
          <w:sz w:val="19"/>
        </w:rPr>
        <w:t>Six-link diagnostic validation chain from technical validity through clinical utility.</w:t>
      </w:r>
    </w:p>
    <w:p>
      <w:bookmarkStart w:id="132" w:name="section_123"/>
      <w:pPr>
        <w:pStyle w:val="Heading1"/>
      </w:pPr>
      <w:r>
        <w:t>Worked Reasoning Cases</w:t>
      </w:r>
      <w:bookmarkEnd w:id="132"/>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These cases teach evidence-calibrated reasoning. They are educational examples, not patient-specific clinical advice.</w:t>
      </w:r>
    </w:p>
    <w:p>
      <w:bookmarkStart w:id="133" w:name="section_124"/>
      <w:pPr>
        <w:pStyle w:val="Heading2"/>
      </w:pPr>
      <w:r>
        <w:t>UC001 | Lobar ICH with disseminated cSS</w:t>
      </w:r>
      <w:bookmarkEnd w:id="133"/>
    </w:p>
    <w:p>
      <w:pPr>
        <w:spacing w:before="0" w:after="120" w:line="300" w:lineRule="auto"/>
      </w:pPr>
      <w:r>
        <w:rPr>
          <w:rFonts w:ascii="Calibri" w:hAnsi="Calibri"/>
          <w:b/>
          <w:color w:val="000000"/>
          <w:sz w:val="22"/>
        </w:rPr>
        <w:t>Scenario:</w:t>
      </w:r>
      <w:r>
        <w:rPr>
          <w:rFonts w:ascii="Calibri" w:hAnsi="Calibri"/>
          <w:color w:val="000000"/>
          <w:sz w:val="22"/>
        </w:rPr>
        <w:t xml:space="preserve"> An older adult presents with spontaneous lobar ICH, multiple strictly lobar microbleeds, and disseminated cSS.</w:t>
      </w:r>
    </w:p>
    <w:p>
      <w:pPr>
        <w:spacing w:before="0" w:after="120" w:line="300" w:lineRule="auto"/>
      </w:pPr>
      <w:r>
        <w:rPr>
          <w:rFonts w:ascii="Calibri" w:hAnsi="Calibri"/>
          <w:b/>
          <w:color w:val="000000"/>
          <w:sz w:val="22"/>
        </w:rPr>
        <w:t>Reasoning:</w:t>
      </w:r>
      <w:r>
        <w:rPr>
          <w:rFonts w:ascii="Calibri" w:hAnsi="Calibri"/>
          <w:color w:val="000000"/>
          <w:sz w:val="22"/>
        </w:rPr>
        <w:t xml:space="preserve"> The phenotype strongly increases CAA probability in the intended symptomatic context. Apply current criteria, confirm sequence adequacy, and separately estimate recurrence and treatment risk.</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infer that every cognitive symptom is caused by CAA or that competing pathology is absent.</w:t>
      </w:r>
    </w:p>
    <w:p>
      <w:bookmarkStart w:id="134" w:name="section_125"/>
      <w:pPr>
        <w:pStyle w:val="Heading2"/>
      </w:pPr>
      <w:r>
        <w:t>UC002 | Cognitive presentation without hemorrhage</w:t>
      </w:r>
      <w:bookmarkEnd w:id="134"/>
    </w:p>
    <w:p>
      <w:pPr>
        <w:spacing w:before="0" w:after="120" w:line="300" w:lineRule="auto"/>
      </w:pPr>
      <w:r>
        <w:rPr>
          <w:rFonts w:ascii="Calibri" w:hAnsi="Calibri"/>
          <w:b/>
          <w:color w:val="000000"/>
          <w:sz w:val="22"/>
        </w:rPr>
        <w:t>Scenario:</w:t>
      </w:r>
      <w:r>
        <w:rPr>
          <w:rFonts w:ascii="Calibri" w:hAnsi="Calibri"/>
          <w:color w:val="000000"/>
          <w:sz w:val="22"/>
        </w:rPr>
        <w:t xml:space="preserve"> A memory-clinic patient has WMH, CSO-PVS, and no hemorrhagic marker.</w:t>
      </w:r>
    </w:p>
    <w:p>
      <w:pPr>
        <w:spacing w:before="0" w:after="120" w:line="300" w:lineRule="auto"/>
      </w:pPr>
      <w:r>
        <w:rPr>
          <w:rFonts w:ascii="Calibri" w:hAnsi="Calibri"/>
          <w:b/>
          <w:color w:val="000000"/>
          <w:sz w:val="22"/>
        </w:rPr>
        <w:t>Reasoning:</w:t>
      </w:r>
      <w:r>
        <w:rPr>
          <w:rFonts w:ascii="Calibri" w:hAnsi="Calibri"/>
          <w:color w:val="000000"/>
          <w:sz w:val="22"/>
        </w:rPr>
        <w:t xml:space="preserve"> Boston v2.0 transportability is weaker in this spectrum. Consider AD and mixed pathology, verify MRI quality, and treat any CAA inference as uncertain.</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use criteria performance from lobar ICH cohorts as if it were screening performance.</w:t>
      </w:r>
    </w:p>
    <w:p>
      <w:bookmarkStart w:id="135" w:name="section_126"/>
      <w:pPr>
        <w:pStyle w:val="Heading2"/>
      </w:pPr>
      <w:r>
        <w:t>UC003 | Mixed lobar and deep microbleeds</w:t>
      </w:r>
      <w:bookmarkEnd w:id="135"/>
    </w:p>
    <w:p>
      <w:pPr>
        <w:spacing w:before="0" w:after="120" w:line="300" w:lineRule="auto"/>
      </w:pPr>
      <w:r>
        <w:rPr>
          <w:rFonts w:ascii="Calibri" w:hAnsi="Calibri"/>
          <w:b/>
          <w:color w:val="000000"/>
          <w:sz w:val="22"/>
        </w:rPr>
        <w:t>Scenario:</w:t>
      </w:r>
      <w:r>
        <w:rPr>
          <w:rFonts w:ascii="Calibri" w:hAnsi="Calibri"/>
          <w:color w:val="000000"/>
          <w:sz w:val="22"/>
        </w:rPr>
        <w:t xml:space="preserve"> MRI shows both lobar and deep microbleeds with extensive WMH.</w:t>
      </w:r>
    </w:p>
    <w:p>
      <w:pPr>
        <w:spacing w:before="0" w:after="120" w:line="300" w:lineRule="auto"/>
      </w:pPr>
      <w:r>
        <w:rPr>
          <w:rFonts w:ascii="Calibri" w:hAnsi="Calibri"/>
          <w:b/>
          <w:color w:val="000000"/>
          <w:sz w:val="22"/>
        </w:rPr>
        <w:t>Reasoning:</w:t>
      </w:r>
      <w:r>
        <w:rPr>
          <w:rFonts w:ascii="Calibri" w:hAnsi="Calibri"/>
          <w:color w:val="000000"/>
          <w:sz w:val="22"/>
        </w:rPr>
        <w:t xml:space="preserve"> Model mixed or competing pathologies. Fine-grained lesion location and cSS may help, but neither distribution alone supplies a pathology diagnosis.</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force a binary CAA-versus-hypertensive label.</w:t>
      </w:r>
    </w:p>
    <w:p>
      <w:bookmarkStart w:id="136" w:name="section_127"/>
      <w:pPr>
        <w:pStyle w:val="Heading2"/>
      </w:pPr>
      <w:r>
        <w:t>UC004 | High ARTS score</w:t>
      </w:r>
      <w:bookmarkEnd w:id="136"/>
    </w:p>
    <w:p>
      <w:pPr>
        <w:spacing w:before="0" w:after="120" w:line="300" w:lineRule="auto"/>
      </w:pPr>
      <w:r>
        <w:rPr>
          <w:rFonts w:ascii="Calibri" w:hAnsi="Calibri"/>
          <w:b/>
          <w:color w:val="000000"/>
          <w:sz w:val="22"/>
        </w:rPr>
        <w:t>Scenario:</w:t>
      </w:r>
      <w:r>
        <w:rPr>
          <w:rFonts w:ascii="Calibri" w:hAnsi="Calibri"/>
          <w:color w:val="000000"/>
          <w:sz w:val="22"/>
        </w:rPr>
        <w:t xml:space="preserve"> A research participant has a high ARTS score and worsening cognition.</w:t>
      </w:r>
    </w:p>
    <w:p>
      <w:pPr>
        <w:spacing w:before="0" w:after="120" w:line="300" w:lineRule="auto"/>
      </w:pPr>
      <w:r>
        <w:rPr>
          <w:rFonts w:ascii="Calibri" w:hAnsi="Calibri"/>
          <w:b/>
          <w:color w:val="000000"/>
          <w:sz w:val="22"/>
        </w:rPr>
        <w:t>Reasoning:</w:t>
      </w:r>
      <w:r>
        <w:rPr>
          <w:rFonts w:ascii="Calibri" w:hAnsi="Calibri"/>
          <w:color w:val="000000"/>
          <w:sz w:val="22"/>
        </w:rPr>
        <w:t xml:space="preserve"> Separate model output, pathology prediction, technical repeatability, outcome association, and clinical utility. Inspect cohort similarity and calibration.</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label the participant pathology-positive without validated context and reference evidence.</w:t>
      </w:r>
    </w:p>
    <w:p>
      <w:bookmarkStart w:id="137" w:name="section_128"/>
      <w:pPr>
        <w:pStyle w:val="Heading2"/>
      </w:pPr>
      <w:r>
        <w:t>UC005 | Subacute encephalopathy with asymmetric FLAIR</w:t>
      </w:r>
      <w:bookmarkEnd w:id="137"/>
    </w:p>
    <w:p>
      <w:pPr>
        <w:spacing w:before="0" w:after="120" w:line="300" w:lineRule="auto"/>
      </w:pPr>
      <w:r>
        <w:rPr>
          <w:rFonts w:ascii="Calibri" w:hAnsi="Calibri"/>
          <w:b/>
          <w:color w:val="000000"/>
          <w:sz w:val="22"/>
        </w:rPr>
        <w:t>Scenario:</w:t>
      </w:r>
      <w:r>
        <w:rPr>
          <w:rFonts w:ascii="Calibri" w:hAnsi="Calibri"/>
          <w:color w:val="000000"/>
          <w:sz w:val="22"/>
        </w:rPr>
        <w:t xml:space="preserve"> An older adult develops seizures and cognitive change with asymmetric parieto-occipital FLAIR hyperintensity and lobar microbleeds.</w:t>
      </w:r>
    </w:p>
    <w:p>
      <w:pPr>
        <w:spacing w:before="0" w:after="120" w:line="300" w:lineRule="auto"/>
      </w:pPr>
      <w:r>
        <w:rPr>
          <w:rFonts w:ascii="Calibri" w:hAnsi="Calibri"/>
          <w:b/>
          <w:color w:val="000000"/>
          <w:sz w:val="22"/>
        </w:rPr>
        <w:t>Reasoning:</w:t>
      </w:r>
      <w:r>
        <w:rPr>
          <w:rFonts w:ascii="Calibri" w:hAnsi="Calibri"/>
          <w:color w:val="000000"/>
          <w:sz w:val="22"/>
        </w:rPr>
        <w:t xml:space="preserve"> CAA-ri is important, but infection, neoplasm, PRES, vasculitis, and seizure-related change require assessment. Treatment exposure determines whether ARIA enters the differential.</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equate an ARIA-E-like appearance with one etiology.</w:t>
      </w:r>
    </w:p>
    <w:p>
      <w:bookmarkStart w:id="138" w:name="section_129"/>
      <w:pPr>
        <w:pStyle w:val="Heading2"/>
      </w:pPr>
      <w:r>
        <w:t>UC006 | Positive amyloid PET in suspected CAA</w:t>
      </w:r>
      <w:bookmarkEnd w:id="138"/>
    </w:p>
    <w:p>
      <w:pPr>
        <w:spacing w:before="0" w:after="120" w:line="300" w:lineRule="auto"/>
      </w:pPr>
      <w:r>
        <w:rPr>
          <w:rFonts w:ascii="Calibri" w:hAnsi="Calibri"/>
          <w:b/>
          <w:color w:val="000000"/>
          <w:sz w:val="22"/>
        </w:rPr>
        <w:t>Scenario:</w:t>
      </w:r>
      <w:r>
        <w:rPr>
          <w:rFonts w:ascii="Calibri" w:hAnsi="Calibri"/>
          <w:color w:val="000000"/>
          <w:sz w:val="22"/>
        </w:rPr>
        <w:t xml:space="preserve"> An older patient with cognitive impairment has positive amyloid PET and a small lobar microbleed burden.</w:t>
      </w:r>
    </w:p>
    <w:p>
      <w:pPr>
        <w:spacing w:before="0" w:after="120" w:line="300" w:lineRule="auto"/>
      </w:pPr>
      <w:r>
        <w:rPr>
          <w:rFonts w:ascii="Calibri" w:hAnsi="Calibri"/>
          <w:b/>
          <w:color w:val="000000"/>
          <w:sz w:val="22"/>
        </w:rPr>
        <w:t>Reasoning:</w:t>
      </w:r>
      <w:r>
        <w:rPr>
          <w:rFonts w:ascii="Calibri" w:hAnsi="Calibri"/>
          <w:color w:val="000000"/>
          <w:sz w:val="22"/>
        </w:rPr>
        <w:t xml:space="preserve"> PET confirms fibrillar amyloid but not its vascular compartment. Integrate regional PET, tau/CSF, MRI pattern, and mixed-pathology probability.</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call a positive scan diagnostic of CAA.</w:t>
      </w:r>
    </w:p>
    <w:p>
      <w:bookmarkStart w:id="139" w:name="section_130"/>
      <w:pPr>
        <w:pStyle w:val="Heading2"/>
      </w:pPr>
      <w:r>
        <w:t>UC007 | Reduced CVR with WMH progression</w:t>
      </w:r>
      <w:bookmarkEnd w:id="139"/>
    </w:p>
    <w:p>
      <w:pPr>
        <w:spacing w:before="0" w:after="120" w:line="300" w:lineRule="auto"/>
      </w:pPr>
      <w:r>
        <w:rPr>
          <w:rFonts w:ascii="Calibri" w:hAnsi="Calibri"/>
          <w:b/>
          <w:color w:val="000000"/>
          <w:sz w:val="22"/>
        </w:rPr>
        <w:t>Scenario:</w:t>
      </w:r>
      <w:r>
        <w:rPr>
          <w:rFonts w:ascii="Calibri" w:hAnsi="Calibri"/>
          <w:color w:val="000000"/>
          <w:sz w:val="22"/>
        </w:rPr>
        <w:t xml:space="preserve"> A research participant has low CVR and increasing WMH over one year.</w:t>
      </w:r>
    </w:p>
    <w:p>
      <w:pPr>
        <w:spacing w:before="0" w:after="120" w:line="300" w:lineRule="auto"/>
      </w:pPr>
      <w:r>
        <w:rPr>
          <w:rFonts w:ascii="Calibri" w:hAnsi="Calibri"/>
          <w:b/>
          <w:color w:val="000000"/>
          <w:sz w:val="22"/>
        </w:rPr>
        <w:t>Reasoning:</w:t>
      </w:r>
      <w:r>
        <w:rPr>
          <w:rFonts w:ascii="Calibri" w:hAnsi="Calibri"/>
          <w:color w:val="000000"/>
          <w:sz w:val="22"/>
        </w:rPr>
        <w:t xml:space="preserve"> This supports vascular dysfunction as a risk marker for tissue progression, while etiology and causal reversibility remain unresolved.</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infer CAA or arteriolosclerosis specificity from CVR alone.</w:t>
      </w:r>
    </w:p>
    <w:p>
      <w:bookmarkStart w:id="140" w:name="section_131"/>
      <w:pPr>
        <w:pStyle w:val="Heading2"/>
      </w:pPr>
      <w:r>
        <w:t>UC008 | Radiology-report candidate phenotype</w:t>
      </w:r>
      <w:bookmarkEnd w:id="140"/>
    </w:p>
    <w:p>
      <w:pPr>
        <w:spacing w:before="0" w:after="120" w:line="300" w:lineRule="auto"/>
      </w:pPr>
      <w:r>
        <w:rPr>
          <w:rFonts w:ascii="Calibri" w:hAnsi="Calibri"/>
          <w:b/>
          <w:color w:val="000000"/>
          <w:sz w:val="22"/>
        </w:rPr>
        <w:t>Scenario:</w:t>
      </w:r>
      <w:r>
        <w:rPr>
          <w:rFonts w:ascii="Calibri" w:hAnsi="Calibri"/>
          <w:color w:val="000000"/>
          <w:sz w:val="22"/>
        </w:rPr>
        <w:t xml:space="preserve"> A report mentions WMH, chronic infarcts, and deep microbleeds without direct image review.</w:t>
      </w:r>
    </w:p>
    <w:p>
      <w:pPr>
        <w:spacing w:before="0" w:after="120" w:line="300" w:lineRule="auto"/>
      </w:pPr>
      <w:r>
        <w:rPr>
          <w:rFonts w:ascii="Calibri" w:hAnsi="Calibri"/>
          <w:b/>
          <w:color w:val="000000"/>
          <w:sz w:val="22"/>
        </w:rPr>
        <w:t>Reasoning:</w:t>
      </w:r>
      <w:r>
        <w:rPr>
          <w:rFonts w:ascii="Calibri" w:hAnsi="Calibri"/>
          <w:color w:val="000000"/>
          <w:sz w:val="22"/>
        </w:rPr>
        <w:t xml:space="preserve"> Use the report for candidate generation and triage. Confirm sequence availability, negation, image-level location, and pathology reference before model development.</w:t>
      </w:r>
    </w:p>
    <w:p>
      <w:pPr>
        <w:spacing w:before="0" w:after="120" w:line="300" w:lineRule="auto"/>
      </w:pPr>
      <w:r>
        <w:rPr>
          <w:rFonts w:ascii="Calibri" w:hAnsi="Calibri"/>
          <w:b/>
          <w:color w:val="000000"/>
          <w:sz w:val="22"/>
        </w:rPr>
        <w:t>Do not conclude:</w:t>
      </w:r>
      <w:r>
        <w:rPr>
          <w:rFonts w:ascii="Calibri" w:hAnsi="Calibri"/>
          <w:color w:val="000000"/>
          <w:sz w:val="22"/>
        </w:rPr>
        <w:t xml:space="preserve"> Do not turn report text into validated diagnostic criteria.</w:t>
      </w:r>
    </w:p>
    <w:p>
      <w:bookmarkStart w:id="141" w:name="section_132"/>
      <w:pPr>
        <w:pStyle w:val="Heading1"/>
      </w:pPr>
      <w:r>
        <w:t>Living Update Workflow</w:t>
      </w:r>
      <w:bookmarkEnd w:id="141"/>
      <w:r>
        <w:rPr>
          <w:rFonts w:ascii="Calibri" w:hAnsi="Calibri"/>
          <w:color w:val="000000"/>
          <w:sz w:val="16"/>
        </w:rPr>
        <w:t xml:space="preserve">   </w:t>
      </w:r>
      <w:hyperlink w:anchor="Contents">
        <w:r>
          <w:rPr>
            <w:color w:val="2E74B5"/>
            <w:u w:val="single"/>
            <w:sz w:val="16"/>
          </w:rPr>
          <w:t>Back to contents</w:t>
        </w:r>
      </w:hyperlink>
    </w:p>
    <w:p>
      <w:bookmarkStart w:id="142" w:name="section_133"/>
      <w:pPr>
        <w:pStyle w:val="Heading2"/>
      </w:pPr>
      <w:r>
        <w:t>Update cycle</w:t>
      </w:r>
      <w:bookmarkEnd w:id="142"/>
    </w:p>
    <w:p>
      <w:pPr>
        <w:numPr>
          <w:ilvl w:val="0"/>
          <w:numId w:val="21"/>
        </w:numPr>
        <w:spacing w:before="0" w:after="80" w:line="300" w:lineRule="auto"/>
      </w:pPr>
      <w:r>
        <w:rPr>
          <w:rFonts w:ascii="Calibri" w:hAnsi="Calibri"/>
          <w:color w:val="000000"/>
          <w:sz w:val="22"/>
        </w:rPr>
        <w:t>Run and archive reproducible searches.</w:t>
      </w:r>
    </w:p>
    <w:p>
      <w:pPr>
        <w:numPr>
          <w:ilvl w:val="0"/>
          <w:numId w:val="21"/>
        </w:numPr>
        <w:spacing w:before="0" w:after="80" w:line="300" w:lineRule="auto"/>
      </w:pPr>
      <w:r>
        <w:rPr>
          <w:rFonts w:ascii="Calibri" w:hAnsi="Calibri"/>
          <w:color w:val="000000"/>
          <w:sz w:val="22"/>
        </w:rPr>
        <w:t>Deduplicate by scholarly work, not local filename.</w:t>
      </w:r>
    </w:p>
    <w:p>
      <w:pPr>
        <w:numPr>
          <w:ilvl w:val="0"/>
          <w:numId w:val="21"/>
        </w:numPr>
        <w:spacing w:before="0" w:after="80" w:line="300" w:lineRule="auto"/>
      </w:pPr>
      <w:r>
        <w:rPr>
          <w:rFonts w:ascii="Calibri" w:hAnsi="Calibri"/>
          <w:color w:val="000000"/>
          <w:sz w:val="22"/>
        </w:rPr>
        <w:t>Screen against explicit question-level criteria.</w:t>
      </w:r>
    </w:p>
    <w:p>
      <w:pPr>
        <w:numPr>
          <w:ilvl w:val="0"/>
          <w:numId w:val="21"/>
        </w:numPr>
        <w:spacing w:before="0" w:after="80" w:line="300" w:lineRule="auto"/>
      </w:pPr>
      <w:r>
        <w:rPr>
          <w:rFonts w:ascii="Calibri" w:hAnsi="Calibri"/>
          <w:color w:val="000000"/>
          <w:sz w:val="22"/>
        </w:rPr>
        <w:t>Extract design, cohort lineage, reference standard, result, limitation, and status.</w:t>
      </w:r>
    </w:p>
    <w:p>
      <w:pPr>
        <w:numPr>
          <w:ilvl w:val="0"/>
          <w:numId w:val="21"/>
        </w:numPr>
        <w:spacing w:before="0" w:after="80" w:line="300" w:lineRule="auto"/>
      </w:pPr>
      <w:r>
        <w:rPr>
          <w:rFonts w:ascii="Calibri" w:hAnsi="Calibri"/>
          <w:color w:val="000000"/>
          <w:sz w:val="22"/>
        </w:rPr>
        <w:t>Add supporting, qualifying, challenging, null, contextual, and methodological edges.</w:t>
      </w:r>
    </w:p>
    <w:p>
      <w:pPr>
        <w:numPr>
          <w:ilvl w:val="0"/>
          <w:numId w:val="21"/>
        </w:numPr>
        <w:spacing w:before="0" w:after="80" w:line="300" w:lineRule="auto"/>
      </w:pPr>
      <w:r>
        <w:rPr>
          <w:rFonts w:ascii="Calibri" w:hAnsi="Calibri"/>
          <w:color w:val="000000"/>
          <w:sz w:val="22"/>
        </w:rPr>
        <w:t>Appraise bias and applicability independently when publication-grade use is intended.</w:t>
      </w:r>
    </w:p>
    <w:p>
      <w:pPr>
        <w:numPr>
          <w:ilvl w:val="0"/>
          <w:numId w:val="21"/>
        </w:numPr>
        <w:spacing w:before="0" w:after="80" w:line="300" w:lineRule="auto"/>
      </w:pPr>
      <w:r>
        <w:rPr>
          <w:rFonts w:ascii="Calibri" w:hAnsi="Calibri"/>
          <w:color w:val="000000"/>
          <w:sz w:val="22"/>
        </w:rPr>
        <w:t>Reassess claims and hypotheses without automatically upgrading confidence.</w:t>
      </w:r>
    </w:p>
    <w:p>
      <w:pPr>
        <w:numPr>
          <w:ilvl w:val="0"/>
          <w:numId w:val="21"/>
        </w:numPr>
        <w:spacing w:before="0" w:after="80" w:line="300" w:lineRule="auto"/>
      </w:pPr>
      <w:r>
        <w:rPr>
          <w:rFonts w:ascii="Calibri" w:hAnsi="Calibri"/>
          <w:color w:val="000000"/>
          <w:sz w:val="22"/>
        </w:rPr>
        <w:t>Regenerate the guide, website exports, validation reports, and changelog.</w:t>
      </w:r>
    </w:p>
    <w:p>
      <w:bookmarkStart w:id="143" w:name="section_134"/>
      <w:pPr>
        <w:pStyle w:val="Heading2"/>
      </w:pPr>
      <w:r>
        <w:t>Priority queue</w:t>
      </w:r>
      <w:bookmarkEnd w:id="143"/>
    </w:p>
    <w:p>
      <w:pPr>
        <w:numPr>
          <w:ilvl w:val="0"/>
          <w:numId w:val="10"/>
        </w:numPr>
        <w:spacing w:before="0" w:after="80" w:line="300" w:lineRule="auto"/>
      </w:pPr>
      <w:r>
        <w:rPr>
          <w:rFonts w:ascii="Calibri" w:hAnsi="Calibri"/>
          <w:b/>
          <w:color w:val="000000"/>
          <w:sz w:val="22"/>
        </w:rPr>
        <w:t>U001 P0 | R052:</w:t>
      </w:r>
      <w:r>
        <w:rPr>
          <w:rFonts w:ascii="Calibri" w:hAnsi="Calibri"/>
          <w:color w:val="000000"/>
          <w:sz w:val="22"/>
        </w:rPr>
        <w:t xml:space="preserve"> Obtain and duplicate-extract full text for nonhemorrhagic Boston v2.0 validation Done when: Two extractions reconciled; QUADAS appraisal completed</w:t>
      </w:r>
    </w:p>
    <w:p>
      <w:pPr>
        <w:numPr>
          <w:ilvl w:val="0"/>
          <w:numId w:val="10"/>
        </w:numPr>
        <w:spacing w:before="0" w:after="80" w:line="300" w:lineRule="auto"/>
      </w:pPr>
      <w:r>
        <w:rPr>
          <w:rFonts w:ascii="Calibri" w:hAnsi="Calibri"/>
          <w:b/>
          <w:color w:val="000000"/>
          <w:sz w:val="22"/>
        </w:rPr>
        <w:t>U002 P0 | Q013:</w:t>
      </w:r>
      <w:r>
        <w:rPr>
          <w:rFonts w:ascii="Calibri" w:hAnsi="Calibri"/>
          <w:color w:val="000000"/>
          <w:sz w:val="22"/>
        </w:rPr>
        <w:t xml:space="preserve"> Build comprehensive MRI-to-pathology arteriolosclerosis search Done when: Database searches, screening, and evidence table completed</w:t>
      </w:r>
    </w:p>
    <w:p>
      <w:pPr>
        <w:numPr>
          <w:ilvl w:val="0"/>
          <w:numId w:val="10"/>
        </w:numPr>
        <w:spacing w:before="0" w:after="80" w:line="300" w:lineRule="auto"/>
      </w:pPr>
      <w:r>
        <w:rPr>
          <w:rFonts w:ascii="Calibri" w:hAnsi="Calibri"/>
          <w:b/>
          <w:color w:val="000000"/>
          <w:sz w:val="22"/>
        </w:rPr>
        <w:t>U003 P0 | Q001:</w:t>
      </w:r>
      <w:r>
        <w:rPr>
          <w:rFonts w:ascii="Calibri" w:hAnsi="Calibri"/>
          <w:color w:val="000000"/>
          <w:sz w:val="22"/>
        </w:rPr>
        <w:t xml:space="preserve"> Inventory neuropathology definitions, regions, stains, and aggregation rules Done when: Construct crosswalk and consensus candidates created</w:t>
      </w:r>
    </w:p>
    <w:p>
      <w:pPr>
        <w:numPr>
          <w:ilvl w:val="0"/>
          <w:numId w:val="10"/>
        </w:numPr>
        <w:spacing w:before="0" w:after="80" w:line="300" w:lineRule="auto"/>
      </w:pPr>
      <w:r>
        <w:rPr>
          <w:rFonts w:ascii="Calibri" w:hAnsi="Calibri"/>
          <w:b/>
          <w:color w:val="000000"/>
          <w:sz w:val="22"/>
        </w:rPr>
        <w:t>U004 P0 | DP002:</w:t>
      </w:r>
      <w:r>
        <w:rPr>
          <w:rFonts w:ascii="Calibri" w:hAnsi="Calibri"/>
          <w:color w:val="000000"/>
          <w:sz w:val="22"/>
        </w:rPr>
        <w:t xml:space="preserve"> Locate independent ARTS pathology validation or confirm absence Done when: Search documented and profile updated</w:t>
      </w:r>
    </w:p>
    <w:p>
      <w:pPr>
        <w:numPr>
          <w:ilvl w:val="0"/>
          <w:numId w:val="10"/>
        </w:numPr>
        <w:spacing w:before="0" w:after="80" w:line="300" w:lineRule="auto"/>
      </w:pPr>
      <w:r>
        <w:rPr>
          <w:rFonts w:ascii="Calibri" w:hAnsi="Calibri"/>
          <w:b/>
          <w:color w:val="000000"/>
          <w:sz w:val="22"/>
        </w:rPr>
        <w:t>U005 P1 | COH002:</w:t>
      </w:r>
      <w:r>
        <w:rPr>
          <w:rFonts w:ascii="Calibri" w:hAnsi="Calibri"/>
          <w:color w:val="000000"/>
          <w:sz w:val="22"/>
        </w:rPr>
        <w:t xml:space="preserve"> Map participant overlap across ROSMAP-derived publications Done when: Publication-to-subset lineage documented</w:t>
      </w:r>
    </w:p>
    <w:p>
      <w:pPr>
        <w:numPr>
          <w:ilvl w:val="0"/>
          <w:numId w:val="10"/>
        </w:numPr>
        <w:spacing w:before="0" w:after="80" w:line="300" w:lineRule="auto"/>
      </w:pPr>
      <w:r>
        <w:rPr>
          <w:rFonts w:ascii="Calibri" w:hAnsi="Calibri"/>
          <w:b/>
          <w:color w:val="000000"/>
          <w:sz w:val="22"/>
        </w:rPr>
        <w:t>U006 P1 | Q008:</w:t>
      </w:r>
      <w:r>
        <w:rPr>
          <w:rFonts w:ascii="Calibri" w:hAnsi="Calibri"/>
          <w:color w:val="000000"/>
          <w:sz w:val="22"/>
        </w:rPr>
        <w:t xml:space="preserve"> Extract lesion-level cortical versus juxtacortical pathology evidence Done when: All located lesion-matched studies appraised</w:t>
      </w:r>
    </w:p>
    <w:p>
      <w:pPr>
        <w:numPr>
          <w:ilvl w:val="0"/>
          <w:numId w:val="10"/>
        </w:numPr>
        <w:spacing w:before="0" w:after="80" w:line="300" w:lineRule="auto"/>
      </w:pPr>
      <w:r>
        <w:rPr>
          <w:rFonts w:ascii="Calibri" w:hAnsi="Calibri"/>
          <w:b/>
          <w:color w:val="000000"/>
          <w:sz w:val="22"/>
        </w:rPr>
        <w:t>U007 P1 | Q025:</w:t>
      </w:r>
      <w:r>
        <w:rPr>
          <w:rFonts w:ascii="Calibri" w:hAnsi="Calibri"/>
          <w:color w:val="000000"/>
          <w:sz w:val="22"/>
        </w:rPr>
        <w:t xml:space="preserve"> Build CAA-versus-AD fluid biomarker evidence table Done when: Assay, comparator, reference, and accuracy fields extracted</w:t>
      </w:r>
    </w:p>
    <w:p>
      <w:pPr>
        <w:numPr>
          <w:ilvl w:val="0"/>
          <w:numId w:val="10"/>
        </w:numPr>
        <w:spacing w:before="0" w:after="80" w:line="300" w:lineRule="auto"/>
      </w:pPr>
      <w:r>
        <w:rPr>
          <w:rFonts w:ascii="Calibri" w:hAnsi="Calibri"/>
          <w:b/>
          <w:color w:val="000000"/>
          <w:sz w:val="22"/>
        </w:rPr>
        <w:t>U008 P1 | Q037:</w:t>
      </w:r>
      <w:r>
        <w:rPr>
          <w:rFonts w:ascii="Calibri" w:hAnsi="Calibri"/>
          <w:color w:val="000000"/>
          <w:sz w:val="22"/>
        </w:rPr>
        <w:t xml:space="preserve"> Add current therapy-specific ARIA risk and monitoring evidence Done when: Current workgroup plus drug-specific authoritative sources mapped</w:t>
      </w:r>
    </w:p>
    <w:p>
      <w:pPr>
        <w:numPr>
          <w:ilvl w:val="0"/>
          <w:numId w:val="10"/>
        </w:numPr>
        <w:spacing w:before="0" w:after="80" w:line="300" w:lineRule="auto"/>
      </w:pPr>
      <w:r>
        <w:rPr>
          <w:rFonts w:ascii="Calibri" w:hAnsi="Calibri"/>
          <w:b/>
          <w:color w:val="000000"/>
          <w:sz w:val="22"/>
        </w:rPr>
        <w:t>U009 P1 | Q031:</w:t>
      </w:r>
      <w:r>
        <w:rPr>
          <w:rFonts w:ascii="Calibri" w:hAnsi="Calibri"/>
          <w:color w:val="000000"/>
          <w:sz w:val="22"/>
        </w:rPr>
        <w:t xml:space="preserve"> Extract mixed CAA-arteriolosclerosis imaging-pathology interactions Done when: At least two independent cohorts or explicit evidence gap recorded</w:t>
      </w:r>
    </w:p>
    <w:p>
      <w:pPr>
        <w:numPr>
          <w:ilvl w:val="0"/>
          <w:numId w:val="10"/>
        </w:numPr>
        <w:spacing w:before="0" w:after="80" w:line="300" w:lineRule="auto"/>
      </w:pPr>
      <w:r>
        <w:rPr>
          <w:rFonts w:ascii="Calibri" w:hAnsi="Calibri"/>
          <w:b/>
          <w:color w:val="000000"/>
          <w:sz w:val="22"/>
        </w:rPr>
        <w:t>U010 P2 | all:</w:t>
      </w:r>
      <w:r>
        <w:rPr>
          <w:rFonts w:ascii="Calibri" w:hAnsi="Calibri"/>
          <w:color w:val="000000"/>
          <w:sz w:val="22"/>
        </w:rPr>
        <w:t xml:space="preserve"> Add second-reviewer fields and adjudication log Done when: Duplicate workflow piloted on all P0 studies</w:t>
      </w:r>
    </w:p>
    <w:p>
      <w:pPr>
        <w:numPr>
          <w:ilvl w:val="0"/>
          <w:numId w:val="10"/>
        </w:numPr>
        <w:spacing w:before="0" w:after="80" w:line="300" w:lineRule="auto"/>
      </w:pPr>
      <w:r>
        <w:rPr>
          <w:rFonts w:ascii="Calibri" w:hAnsi="Calibri"/>
          <w:b/>
          <w:color w:val="000000"/>
          <w:sz w:val="22"/>
        </w:rPr>
        <w:t>U011 P2 | all:</w:t>
      </w:r>
      <w:r>
        <w:rPr>
          <w:rFonts w:ascii="Calibri" w:hAnsi="Calibri"/>
          <w:color w:val="000000"/>
          <w:sz w:val="22"/>
        </w:rPr>
        <w:t xml:space="preserve"> Add saved PubMed query export and deduplication workflow Done when: New citations can be imported without overwriting reviewed records</w:t>
      </w:r>
    </w:p>
    <w:p>
      <w:pPr>
        <w:numPr>
          <w:ilvl w:val="0"/>
          <w:numId w:val="10"/>
        </w:numPr>
        <w:spacing w:before="0" w:after="80" w:line="300" w:lineRule="auto"/>
      </w:pPr>
      <w:r>
        <w:rPr>
          <w:rFonts w:ascii="Calibri" w:hAnsi="Calibri"/>
          <w:b/>
          <w:color w:val="000000"/>
          <w:sz w:val="22"/>
        </w:rPr>
        <w:t>U012 P2 | all:</w:t>
      </w:r>
      <w:r>
        <w:rPr>
          <w:rFonts w:ascii="Calibri" w:hAnsi="Calibri"/>
          <w:color w:val="000000"/>
          <w:sz w:val="22"/>
        </w:rPr>
        <w:t xml:space="preserve"> Prototype question, claim, cohort, and diagnostic-profile views from JSON Done when: No-PHI static prototype renders from generated exports</w:t>
      </w:r>
    </w:p>
    <w:p>
      <w:pPr>
        <w:keepNext/>
        <w:spacing w:before="160" w:after="60"/>
        <w:jc w:val="center"/>
      </w:pPr>
      <w:r>
        <w:drawing>
          <wp:inline xmlns:a="http://schemas.openxmlformats.org/drawingml/2006/main" xmlns:pic="http://schemas.openxmlformats.org/drawingml/2006/picture">
            <wp:extent cx="5715000" cy="3214688"/>
            <wp:docPr id="14" name="Picture 14" descr="Illustrative completeness bars showing why source count alone does not establish evidence maturity." title="Illustrative completeness bars showing why source count alone does not establish evidence maturity"/>
            <wp:cNvGraphicFramePr>
              <a:graphicFrameLocks noChangeAspect="1"/>
            </wp:cNvGraphicFramePr>
            <a:graphic>
              <a:graphicData uri="http://schemas.openxmlformats.org/drawingml/2006/picture">
                <pic:pic>
                  <pic:nvPicPr>
                    <pic:cNvPr id="0" name="figure_10_completeness_dimensions.png"/>
                    <pic:cNvPicPr/>
                  </pic:nvPicPr>
                  <pic:blipFill>
                    <a:blip r:embed="rId45"/>
                    <a:stretch>
                      <a:fillRect/>
                    </a:stretch>
                  </pic:blipFill>
                  <pic:spPr>
                    <a:xfrm>
                      <a:off x="0" y="0"/>
                      <a:ext cx="5715000" cy="3214688"/>
                    </a:xfrm>
                    <a:prstGeom prst="rect"/>
                  </pic:spPr>
                </pic:pic>
              </a:graphicData>
            </a:graphic>
          </wp:inline>
        </w:drawing>
      </w:r>
    </w:p>
    <w:p>
      <w:pPr>
        <w:keepNext w:val="0"/>
        <w:keepLines/>
        <w:spacing w:after="200"/>
        <w:jc w:val="center"/>
      </w:pPr>
      <w:r>
        <w:rPr>
          <w:rFonts w:ascii="Calibri" w:hAnsi="Calibri"/>
          <w:b/>
          <w:color w:val="203748"/>
          <w:sz w:val="19"/>
        </w:rPr>
        <w:t xml:space="preserve">Figure 14. </w:t>
      </w:r>
      <w:r>
        <w:rPr>
          <w:rFonts w:ascii="Calibri" w:hAnsi="Calibri"/>
          <w:i/>
          <w:color w:val="5A626C"/>
          <w:sz w:val="19"/>
        </w:rPr>
        <w:t>Illustrative completeness bars showing why source count alone does not establish evidence maturity.</w:t>
      </w:r>
    </w:p>
    <w:p>
      <w:bookmarkStart w:id="144" w:name="section_135"/>
      <w:pPr>
        <w:pStyle w:val="Heading1"/>
      </w:pPr>
      <w:r>
        <w:t>Reading Path: From First Principles to Research Fluency</w:t>
      </w:r>
      <w:bookmarkEnd w:id="144"/>
      <w:r>
        <w:rPr>
          <w:rFonts w:ascii="Calibri" w:hAnsi="Calibri"/>
          <w:color w:val="000000"/>
          <w:sz w:val="16"/>
        </w:rPr>
        <w:t xml:space="preserve">   </w:t>
      </w:r>
      <w:hyperlink w:anchor="Contents">
        <w:r>
          <w:rPr>
            <w:color w:val="2E74B5"/>
            <w:u w:val="single"/>
            <w:sz w:val="16"/>
          </w:rPr>
          <w:t>Back to contents</w:t>
        </w:r>
      </w:hyperlink>
    </w:p>
    <w:p>
      <w:pPr>
        <w:spacing w:before="0" w:after="120" w:line="300" w:lineRule="auto"/>
      </w:pPr>
      <w:r>
        <w:rPr>
          <w:rFonts w:ascii="Calibri" w:hAnsi="Calibri"/>
          <w:color w:val="000000"/>
          <w:sz w:val="22"/>
        </w:rPr>
        <w:t>This sequence uses the attached papers as anchors. Do not try to memorize every lesion on the first pass. Each pass has a different purpose.</w:t>
      </w:r>
    </w:p>
    <w:p>
      <w:bookmarkStart w:id="145" w:name="section_136"/>
      <w:pPr>
        <w:pStyle w:val="Heading2"/>
      </w:pPr>
      <w:r>
        <w:t>Pass 1: build the map</w:t>
      </w:r>
      <w:bookmarkEnd w:id="145"/>
    </w:p>
    <w:p>
      <w:pPr>
        <w:keepNext/>
        <w:spacing w:before="160" w:after="80"/>
      </w:pPr>
      <w:r>
        <w:rPr>
          <w:rFonts w:ascii="Calibri" w:hAnsi="Calibri"/>
          <w:b/>
          <w:color w:val="1F4D78"/>
          <w:sz w:val="22"/>
        </w:rPr>
        <w:t>Module 1 - imaging vocabulary</w:t>
      </w:r>
    </w:p>
    <w:p>
      <w:pPr>
        <w:spacing w:before="0" w:after="120" w:line="300" w:lineRule="auto"/>
      </w:pPr>
      <w:r>
        <w:rPr>
          <w:rFonts w:ascii="Calibri" w:hAnsi="Calibri"/>
          <w:color w:val="000000"/>
          <w:sz w:val="22"/>
        </w:rPr>
        <w:t>Read Duering et al. (STRIVE-2), focusing on the glossary, temporal evolution, mimics, and the reason for phenotype-first language. Keep STRIVE-1 available for the original definitions.</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distinguish recent small subcortical infarct, lacune, WMH, PVS, CMB, cSS, cortical microinfarct, and atrophy without claiming etiology.</w:t>
      </w:r>
    </w:p>
    <w:p>
      <w:pPr>
        <w:keepNext/>
        <w:spacing w:before="160" w:after="80"/>
      </w:pPr>
      <w:r>
        <w:rPr>
          <w:rFonts w:ascii="Calibri" w:hAnsi="Calibri"/>
          <w:b/>
          <w:color w:val="1F4D78"/>
          <w:sz w:val="22"/>
        </w:rPr>
        <w:t>Module 2 - the two major vessel pathologies</w:t>
      </w:r>
    </w:p>
    <w:p>
      <w:pPr>
        <w:spacing w:before="0" w:after="120" w:line="300" w:lineRule="auto"/>
      </w:pPr>
      <w:r>
        <w:rPr>
          <w:rFonts w:ascii="Calibri" w:hAnsi="Calibri"/>
          <w:color w:val="000000"/>
          <w:sz w:val="22"/>
        </w:rPr>
        <w:t>Read Blevins et al. for brain arteriolosclerosis, then Greenberg 2026 or Charidimou 2017 for CAA.</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draw the pial-to-penetrating vessel anatomy; explain B-ASC versus CAA histology and distribution; list overlapping downstream lesions.</w:t>
      </w:r>
    </w:p>
    <w:p>
      <w:pPr>
        <w:keepNext/>
        <w:spacing w:before="160" w:after="80"/>
      </w:pPr>
      <w:r>
        <w:rPr>
          <w:rFonts w:ascii="Calibri" w:hAnsi="Calibri"/>
          <w:b/>
          <w:color w:val="1F4D78"/>
          <w:sz w:val="22"/>
        </w:rPr>
        <w:t>Module 3 - criteria</w:t>
      </w:r>
    </w:p>
    <w:p>
      <w:pPr>
        <w:spacing w:before="0" w:after="120" w:line="300" w:lineRule="auto"/>
      </w:pPr>
      <w:r>
        <w:rPr>
          <w:rFonts w:ascii="Calibri" w:hAnsi="Calibri"/>
          <w:color w:val="000000"/>
          <w:sz w:val="22"/>
        </w:rPr>
        <w:t>Read Boston v2.0 and Edinburgh CT criteria. Recreate each algorithm from memory, then check the original table. Read the criteria-development methods, not only the final rules.</w:t>
      </w:r>
    </w:p>
    <w:p>
      <w:pPr>
        <w:spacing w:before="0" w:after="120" w:line="300" w:lineRule="auto"/>
      </w:pPr>
      <w:r>
        <w:rPr>
          <w:rFonts w:ascii="Calibri" w:hAnsi="Calibri"/>
          <w:b/>
          <w:color w:val="000000"/>
          <w:sz w:val="22"/>
        </w:rPr>
        <w:t>You should be able to:</w:t>
      </w:r>
      <w:r>
        <w:rPr>
          <w:rFonts w:ascii="Calibri" w:hAnsi="Calibri"/>
          <w:color w:val="000000"/>
          <w:sz w:val="22"/>
        </w:rPr>
        <w:t xml:space="preserve"> state intended population, reference standard, rule-in/rule-out goal, major exclusions, and spectrum limitations.</w:t>
      </w:r>
    </w:p>
    <w:p>
      <w:bookmarkStart w:id="146" w:name="section_137"/>
      <w:pPr>
        <w:pStyle w:val="Heading2"/>
      </w:pPr>
      <w:r>
        <w:t>Pass 2: understand the mechanisms</w:t>
      </w:r>
      <w:bookmarkEnd w:id="146"/>
    </w:p>
    <w:p>
      <w:pPr>
        <w:keepNext/>
        <w:spacing w:before="160" w:after="80"/>
      </w:pPr>
      <w:r>
        <w:rPr>
          <w:rFonts w:ascii="Calibri" w:hAnsi="Calibri"/>
          <w:b/>
          <w:color w:val="1F4D78"/>
          <w:sz w:val="22"/>
        </w:rPr>
        <w:t>Module 4 - disease progression</w:t>
      </w:r>
    </w:p>
    <w:p>
      <w:pPr>
        <w:spacing w:before="0" w:after="120" w:line="300" w:lineRule="auto"/>
      </w:pPr>
      <w:r>
        <w:rPr>
          <w:rFonts w:ascii="Calibri" w:hAnsi="Calibri"/>
          <w:color w:val="000000"/>
          <w:sz w:val="22"/>
        </w:rPr>
        <w:t>Read Koemans et al. alongside the 2026 Greenberg review.</w:t>
      </w:r>
    </w:p>
    <w:p>
      <w:pPr>
        <w:spacing w:before="0" w:after="120" w:line="300" w:lineRule="auto"/>
      </w:pPr>
      <w:r>
        <w:rPr>
          <w:rFonts w:ascii="Calibri" w:hAnsi="Calibri"/>
          <w:b/>
          <w:color w:val="000000"/>
          <w:sz w:val="22"/>
        </w:rPr>
        <w:t>Questions:</w:t>
      </w:r>
      <w:r>
        <w:rPr>
          <w:rFonts w:ascii="Calibri" w:hAnsi="Calibri"/>
          <w:color w:val="000000"/>
          <w:sz w:val="22"/>
        </w:rPr>
        <w:t xml:space="preserve"> What evidence orders amyloid deposition, physiology, non-hemorrhagic injury, and hemorrhage? Which evidence comes from hereditary rather than sporadic CAA?</w:t>
      </w:r>
    </w:p>
    <w:p>
      <w:pPr>
        <w:keepNext/>
        <w:spacing w:before="160" w:after="80"/>
      </w:pPr>
      <w:r>
        <w:rPr>
          <w:rFonts w:ascii="Calibri" w:hAnsi="Calibri"/>
          <w:b/>
          <w:color w:val="1F4D78"/>
          <w:sz w:val="22"/>
        </w:rPr>
        <w:t>Module 5 - clearance</w:t>
      </w:r>
    </w:p>
    <w:p>
      <w:pPr>
        <w:spacing w:before="0" w:after="120" w:line="300" w:lineRule="auto"/>
      </w:pPr>
      <w:r>
        <w:rPr>
          <w:rFonts w:ascii="Calibri" w:hAnsi="Calibri"/>
          <w:color w:val="000000"/>
          <w:sz w:val="22"/>
        </w:rPr>
        <w:t>Read van Veluw et al. 2024, then Perosa et al. 2022.</w:t>
      </w:r>
    </w:p>
    <w:p>
      <w:pPr>
        <w:spacing w:before="0" w:after="120" w:line="300" w:lineRule="auto"/>
      </w:pPr>
      <w:r>
        <w:rPr>
          <w:rFonts w:ascii="Calibri" w:hAnsi="Calibri"/>
          <w:b/>
          <w:color w:val="000000"/>
          <w:sz w:val="22"/>
        </w:rPr>
        <w:t>Questions:</w:t>
      </w:r>
      <w:r>
        <w:rPr>
          <w:rFonts w:ascii="Calibri" w:hAnsi="Calibri"/>
          <w:color w:val="000000"/>
          <w:sz w:val="22"/>
        </w:rPr>
        <w:t xml:space="preserve"> Which claims are IPAD-specific, glymphatic, or generic perivascular clearance? What does an enlarged PVS measure? What observations could result from reverse causation?</w:t>
      </w:r>
    </w:p>
    <w:p>
      <w:pPr>
        <w:keepNext/>
        <w:spacing w:before="160" w:after="80"/>
      </w:pPr>
      <w:r>
        <w:rPr>
          <w:rFonts w:ascii="Calibri" w:hAnsi="Calibri"/>
          <w:b/>
          <w:color w:val="1F4D78"/>
          <w:sz w:val="22"/>
        </w:rPr>
        <w:t>Module 6 - barrier, inflammation, and rupture</w:t>
      </w:r>
    </w:p>
    <w:p>
      <w:pPr>
        <w:spacing w:before="0" w:after="120" w:line="300" w:lineRule="auto"/>
      </w:pPr>
      <w:r>
        <w:rPr>
          <w:rFonts w:ascii="Calibri" w:hAnsi="Calibri"/>
          <w:color w:val="000000"/>
          <w:sz w:val="22"/>
        </w:rPr>
        <w:t>Read Kozberg et al. 2022, followed by van den Brink et al. 2024.</w:t>
      </w:r>
    </w:p>
    <w:p>
      <w:pPr>
        <w:spacing w:before="0" w:after="120" w:line="300" w:lineRule="auto"/>
      </w:pPr>
      <w:r>
        <w:rPr>
          <w:rFonts w:ascii="Calibri" w:hAnsi="Calibri"/>
          <w:b/>
          <w:color w:val="000000"/>
          <w:sz w:val="22"/>
        </w:rPr>
        <w:t>Questions:</w:t>
      </w:r>
      <w:r>
        <w:rPr>
          <w:rFonts w:ascii="Calibri" w:hAnsi="Calibri"/>
          <w:color w:val="000000"/>
          <w:sz w:val="22"/>
        </w:rPr>
        <w:t xml:space="preserve"> At what vessel grades do leakage, smooth-muscle loss, and inflammation appear? What can spatial postmortem staging establish, and what can it not establish about time?</w:t>
      </w:r>
    </w:p>
    <w:p>
      <w:bookmarkStart w:id="147" w:name="section_138"/>
      <w:pPr>
        <w:pStyle w:val="Heading2"/>
      </w:pPr>
      <w:r>
        <w:t>Pass 3: study specificity and mixed pathology</w:t>
      </w:r>
      <w:bookmarkEnd w:id="147"/>
    </w:p>
    <w:p>
      <w:pPr>
        <w:keepNext/>
        <w:spacing w:before="160" w:after="80"/>
      </w:pPr>
      <w:r>
        <w:rPr>
          <w:rFonts w:ascii="Calibri" w:hAnsi="Calibri"/>
          <w:b/>
          <w:color w:val="1F4D78"/>
          <w:sz w:val="22"/>
        </w:rPr>
        <w:t>Module 7 - false positives and lesion-level truth</w:t>
      </w:r>
    </w:p>
    <w:p>
      <w:pPr>
        <w:spacing w:before="0" w:after="120" w:line="300" w:lineRule="auto"/>
      </w:pPr>
      <w:r>
        <w:rPr>
          <w:rFonts w:ascii="Calibri" w:hAnsi="Calibri"/>
          <w:color w:val="000000"/>
          <w:sz w:val="22"/>
        </w:rPr>
        <w:t>Read Perosa et al. 2023.</w:t>
      </w:r>
    </w:p>
    <w:p>
      <w:pPr>
        <w:spacing w:before="0" w:after="120" w:line="300" w:lineRule="auto"/>
      </w:pPr>
      <w:r>
        <w:rPr>
          <w:rFonts w:ascii="Calibri" w:hAnsi="Calibri"/>
          <w:b/>
          <w:color w:val="000000"/>
          <w:sz w:val="22"/>
        </w:rPr>
        <w:t>Questions:</w:t>
      </w:r>
      <w:r>
        <w:rPr>
          <w:rFonts w:ascii="Calibri" w:hAnsi="Calibri"/>
          <w:color w:val="000000"/>
          <w:sz w:val="22"/>
        </w:rPr>
        <w:t xml:space="preserve"> How can probable CAA be false positive? Where were lesions located relative to the cortex? Why can patient-level criteria remain useful despite lesion-level etiologic overlap?</w:t>
      </w:r>
    </w:p>
    <w:p>
      <w:pPr>
        <w:keepNext/>
        <w:spacing w:before="160" w:after="80"/>
      </w:pPr>
      <w:r>
        <w:rPr>
          <w:rFonts w:ascii="Calibri" w:hAnsi="Calibri"/>
          <w:b/>
          <w:color w:val="1F4D78"/>
          <w:sz w:val="22"/>
        </w:rPr>
        <w:t>Module 8 - medial temporal lobe and co-pathology</w:t>
      </w:r>
    </w:p>
    <w:p>
      <w:pPr>
        <w:spacing w:before="0" w:after="120" w:line="300" w:lineRule="auto"/>
      </w:pPr>
      <w:r>
        <w:rPr>
          <w:rFonts w:ascii="Calibri" w:hAnsi="Calibri"/>
          <w:color w:val="000000"/>
          <w:sz w:val="22"/>
        </w:rPr>
        <w:t>Read the Perosa/Viswanathan medial-temporal review, Neltner/Nelson on multiregional arteriolosclerosis and hippocampal sclerosis, LATE-NC staging, and Rodríguez et al. on entorhinal vessel density.</w:t>
      </w:r>
    </w:p>
    <w:p>
      <w:pPr>
        <w:spacing w:before="0" w:after="120" w:line="300" w:lineRule="auto"/>
      </w:pPr>
      <w:r>
        <w:rPr>
          <w:rFonts w:ascii="Calibri" w:hAnsi="Calibri"/>
          <w:b/>
          <w:color w:val="000000"/>
          <w:sz w:val="22"/>
        </w:rPr>
        <w:t>Questions:</w:t>
      </w:r>
      <w:r>
        <w:rPr>
          <w:rFonts w:ascii="Calibri" w:hAnsi="Calibri"/>
          <w:color w:val="000000"/>
          <w:sz w:val="22"/>
        </w:rPr>
        <w:t xml:space="preserve"> Which associations are independent after adjustment? Which directions are plausible? How can selection into autopsy cohorts bias relationships?</w:t>
      </w:r>
    </w:p>
    <w:p>
      <w:bookmarkStart w:id="148" w:name="section_139"/>
      <w:pPr>
        <w:pStyle w:val="Heading2"/>
      </w:pPr>
      <w:r>
        <w:t>Pass 4: measurement and translation</w:t>
      </w:r>
      <w:bookmarkEnd w:id="148"/>
    </w:p>
    <w:p>
      <w:pPr>
        <w:keepNext/>
        <w:spacing w:before="160" w:after="80"/>
      </w:pPr>
      <w:r>
        <w:rPr>
          <w:rFonts w:ascii="Calibri" w:hAnsi="Calibri"/>
          <w:b/>
          <w:color w:val="1F4D78"/>
          <w:sz w:val="22"/>
        </w:rPr>
        <w:t>Module 9 - quantitative pathology</w:t>
      </w:r>
    </w:p>
    <w:p>
      <w:pPr>
        <w:spacing w:before="0" w:after="120" w:line="300" w:lineRule="auto"/>
      </w:pPr>
      <w:r>
        <w:rPr>
          <w:rFonts w:ascii="Calibri" w:hAnsi="Calibri"/>
          <w:color w:val="000000"/>
          <w:sz w:val="22"/>
        </w:rPr>
        <w:t>Read Perosa/Scherlek 2021.</w:t>
      </w:r>
    </w:p>
    <w:p>
      <w:pPr>
        <w:spacing w:before="0" w:after="120" w:line="300" w:lineRule="auto"/>
      </w:pPr>
      <w:r>
        <w:rPr>
          <w:rFonts w:ascii="Calibri" w:hAnsi="Calibri"/>
          <w:b/>
          <w:color w:val="000000"/>
          <w:sz w:val="22"/>
        </w:rPr>
        <w:t>Questions:</w:t>
      </w:r>
      <w:r>
        <w:rPr>
          <w:rFonts w:ascii="Calibri" w:hAnsi="Calibri"/>
          <w:color w:val="000000"/>
          <w:sz w:val="22"/>
        </w:rPr>
        <w:t xml:space="preserve"> How were expert labels generated? Was validation independent? What sources of stain/scanner/domain shift remain? Why retain marker-specific models?</w:t>
      </w:r>
    </w:p>
    <w:p>
      <w:pPr>
        <w:keepNext/>
        <w:spacing w:before="160" w:after="80"/>
      </w:pPr>
      <w:r>
        <w:rPr>
          <w:rFonts w:ascii="Calibri" w:hAnsi="Calibri"/>
          <w:b/>
          <w:color w:val="1F4D78"/>
          <w:sz w:val="22"/>
        </w:rPr>
        <w:t>Module 10 - in-vivo biomarkers</w:t>
      </w:r>
    </w:p>
    <w:p>
      <w:pPr>
        <w:spacing w:before="0" w:after="120" w:line="300" w:lineRule="auto"/>
      </w:pPr>
      <w:r>
        <w:rPr>
          <w:rFonts w:ascii="Calibri" w:hAnsi="Calibri"/>
          <w:color w:val="000000"/>
          <w:sz w:val="22"/>
        </w:rPr>
        <w:t>Read the ARTS development and MarkVCID validation papers; review the current kit protocol. Then compare ARTS with WMH volume, PSMD, free water, and CVR.</w:t>
      </w:r>
    </w:p>
    <w:p>
      <w:pPr>
        <w:spacing w:before="0" w:after="120" w:line="300" w:lineRule="auto"/>
      </w:pPr>
      <w:r>
        <w:rPr>
          <w:rFonts w:ascii="Calibri" w:hAnsi="Calibri"/>
          <w:b/>
          <w:color w:val="000000"/>
          <w:sz w:val="22"/>
        </w:rPr>
        <w:t>Questions:</w:t>
      </w:r>
      <w:r>
        <w:rPr>
          <w:rFonts w:ascii="Calibri" w:hAnsi="Calibri"/>
          <w:color w:val="000000"/>
          <w:sz w:val="22"/>
        </w:rPr>
        <w:t xml:space="preserve"> What is the exact context of use? What was the pathology reference? Does the biomarker add beyond age/sex and WMH? Has calibration been tested in your intended cohort?</w:t>
      </w:r>
    </w:p>
    <w:p>
      <w:bookmarkStart w:id="149" w:name="section_140"/>
      <w:pPr>
        <w:pStyle w:val="Heading2"/>
      </w:pPr>
      <w:r>
        <w:t>Pass 5: become a critical synthesist</w:t>
      </w:r>
      <w:bookmarkEnd w:id="149"/>
    </w:p>
    <w:p>
      <w:pPr>
        <w:spacing w:before="0" w:after="120" w:line="300" w:lineRule="auto"/>
      </w:pPr>
      <w:r>
        <w:rPr>
          <w:rFonts w:ascii="Calibri" w:hAnsi="Calibri"/>
          <w:color w:val="000000"/>
          <w:sz w:val="22"/>
        </w:rPr>
        <w:t xml:space="preserve">For every major hypothesis in </w:t>
      </w:r>
      <w:r>
        <w:rPr>
          <w:rFonts w:ascii="Menlo" w:hAnsi="Menlo"/>
          <w:color w:val="1F4D78"/>
          <w:sz w:val="21"/>
        </w:rPr>
        <w:t>docs/04_DEBATES_HYPOTHESES_OPEN_QUESTIONS.md</w:t>
      </w:r>
      <w:r>
        <w:rPr>
          <w:rFonts w:ascii="Calibri" w:hAnsi="Calibri"/>
          <w:color w:val="000000"/>
          <w:sz w:val="22"/>
        </w:rPr>
        <w:t>, identify:</w:t>
      </w:r>
    </w:p>
    <w:p>
      <w:pPr>
        <w:numPr>
          <w:ilvl w:val="0"/>
          <w:numId w:val="22"/>
        </w:numPr>
        <w:spacing w:before="0" w:after="80" w:line="300" w:lineRule="auto"/>
      </w:pPr>
      <w:r>
        <w:rPr>
          <w:rFonts w:ascii="Calibri" w:hAnsi="Calibri"/>
          <w:color w:val="000000"/>
          <w:sz w:val="22"/>
        </w:rPr>
        <w:t>one human tissue paper;</w:t>
      </w:r>
    </w:p>
    <w:p>
      <w:pPr>
        <w:numPr>
          <w:ilvl w:val="0"/>
          <w:numId w:val="22"/>
        </w:numPr>
        <w:spacing w:before="0" w:after="80" w:line="300" w:lineRule="auto"/>
      </w:pPr>
      <w:r>
        <w:rPr>
          <w:rFonts w:ascii="Calibri" w:hAnsi="Calibri"/>
          <w:color w:val="000000"/>
          <w:sz w:val="22"/>
        </w:rPr>
        <w:t>one longitudinal human study;</w:t>
      </w:r>
    </w:p>
    <w:p>
      <w:pPr>
        <w:numPr>
          <w:ilvl w:val="0"/>
          <w:numId w:val="22"/>
        </w:numPr>
        <w:spacing w:before="0" w:after="80" w:line="300" w:lineRule="auto"/>
      </w:pPr>
      <w:r>
        <w:rPr>
          <w:rFonts w:ascii="Calibri" w:hAnsi="Calibri"/>
          <w:color w:val="000000"/>
          <w:sz w:val="22"/>
        </w:rPr>
        <w:t>one experimental study;</w:t>
      </w:r>
    </w:p>
    <w:p>
      <w:pPr>
        <w:numPr>
          <w:ilvl w:val="0"/>
          <w:numId w:val="22"/>
        </w:numPr>
        <w:spacing w:before="0" w:after="80" w:line="300" w:lineRule="auto"/>
      </w:pPr>
      <w:r>
        <w:rPr>
          <w:rFonts w:ascii="Calibri" w:hAnsi="Calibri"/>
          <w:color w:val="000000"/>
          <w:sz w:val="22"/>
        </w:rPr>
        <w:t>one null, conflicting, or specificity-limiting result;</w:t>
      </w:r>
    </w:p>
    <w:p>
      <w:pPr>
        <w:numPr>
          <w:ilvl w:val="0"/>
          <w:numId w:val="22"/>
        </w:numPr>
        <w:spacing w:before="0" w:after="80" w:line="300" w:lineRule="auto"/>
      </w:pPr>
      <w:r>
        <w:rPr>
          <w:rFonts w:ascii="Calibri" w:hAnsi="Calibri"/>
          <w:color w:val="000000"/>
          <w:sz w:val="22"/>
        </w:rPr>
        <w:t>one experiment that would distinguish the leading explanations.</w:t>
      </w:r>
    </w:p>
    <w:p>
      <w:pPr>
        <w:spacing w:before="0" w:after="120" w:line="300" w:lineRule="auto"/>
      </w:pPr>
      <w:r>
        <w:rPr>
          <w:rFonts w:ascii="Calibri" w:hAnsi="Calibri"/>
          <w:color w:val="000000"/>
          <w:sz w:val="22"/>
        </w:rPr>
        <w:t xml:space="preserve">Write the result with </w:t>
      </w:r>
      <w:r>
        <w:rPr>
          <w:rFonts w:ascii="Menlo" w:hAnsi="Menlo"/>
          <w:color w:val="1F4D78"/>
          <w:sz w:val="21"/>
        </w:rPr>
        <w:t>templates/CLAIM_EVIDENCE_TEMPLATE.md</w:t>
      </w:r>
      <w:r>
        <w:rPr>
          <w:rFonts w:ascii="Calibri" w:hAnsi="Calibri"/>
          <w:color w:val="000000"/>
          <w:sz w:val="22"/>
        </w:rPr>
        <w:t>. This turns reading into an evidence graph rather than a collection of summaries.</w:t>
      </w:r>
    </w:p>
    <w:p>
      <w:bookmarkStart w:id="150" w:name="section_141"/>
      <w:pPr>
        <w:pStyle w:val="Heading2"/>
      </w:pPr>
      <w:r>
        <w:t>Suggested first 15 papers</w:t>
      </w:r>
      <w:bookmarkEnd w:id="150"/>
    </w:p>
    <w:p>
      <w:pPr>
        <w:numPr>
          <w:ilvl w:val="0"/>
          <w:numId w:val="23"/>
        </w:numPr>
        <w:spacing w:before="0" w:after="80" w:line="300" w:lineRule="auto"/>
      </w:pPr>
      <w:r>
        <w:rPr>
          <w:rFonts w:ascii="Calibri" w:hAnsi="Calibri"/>
          <w:color w:val="000000"/>
          <w:sz w:val="22"/>
        </w:rPr>
        <w:t>Duering et al. 2023 - STRIVE-2.</w:t>
      </w:r>
    </w:p>
    <w:p>
      <w:pPr>
        <w:numPr>
          <w:ilvl w:val="0"/>
          <w:numId w:val="23"/>
        </w:numPr>
        <w:spacing w:before="0" w:after="80" w:line="300" w:lineRule="auto"/>
      </w:pPr>
      <w:r>
        <w:rPr>
          <w:rFonts w:ascii="Calibri" w:hAnsi="Calibri"/>
          <w:color w:val="000000"/>
          <w:sz w:val="22"/>
        </w:rPr>
        <w:t>Blevins et al. 2021 - brain arteriolosclerosis.</w:t>
      </w:r>
    </w:p>
    <w:p>
      <w:pPr>
        <w:numPr>
          <w:ilvl w:val="0"/>
          <w:numId w:val="23"/>
        </w:numPr>
        <w:spacing w:before="0" w:after="80" w:line="300" w:lineRule="auto"/>
      </w:pPr>
      <w:r>
        <w:rPr>
          <w:rFonts w:ascii="Calibri" w:hAnsi="Calibri"/>
          <w:color w:val="000000"/>
          <w:sz w:val="22"/>
        </w:rPr>
        <w:t>Greenberg 2026 - current CAA overview.</w:t>
      </w:r>
    </w:p>
    <w:p>
      <w:pPr>
        <w:numPr>
          <w:ilvl w:val="0"/>
          <w:numId w:val="23"/>
        </w:numPr>
        <w:spacing w:before="0" w:after="80" w:line="300" w:lineRule="auto"/>
      </w:pPr>
      <w:r>
        <w:rPr>
          <w:rFonts w:ascii="Calibri" w:hAnsi="Calibri"/>
          <w:color w:val="000000"/>
          <w:sz w:val="22"/>
        </w:rPr>
        <w:t>Charidimou et al. 2022 - Boston v2.0.</w:t>
      </w:r>
    </w:p>
    <w:p>
      <w:pPr>
        <w:numPr>
          <w:ilvl w:val="0"/>
          <w:numId w:val="23"/>
        </w:numPr>
        <w:spacing w:before="0" w:after="80" w:line="300" w:lineRule="auto"/>
      </w:pPr>
      <w:r>
        <w:rPr>
          <w:rFonts w:ascii="Calibri" w:hAnsi="Calibri"/>
          <w:color w:val="000000"/>
          <w:sz w:val="22"/>
        </w:rPr>
        <w:t>Rodrigues et al. 2018 - Edinburgh CT/genetic criteria.</w:t>
      </w:r>
    </w:p>
    <w:p>
      <w:pPr>
        <w:numPr>
          <w:ilvl w:val="0"/>
          <w:numId w:val="23"/>
        </w:numPr>
        <w:spacing w:before="0" w:after="80" w:line="300" w:lineRule="auto"/>
      </w:pPr>
      <w:r>
        <w:rPr>
          <w:rFonts w:ascii="Calibri" w:hAnsi="Calibri"/>
          <w:color w:val="000000"/>
          <w:sz w:val="22"/>
        </w:rPr>
        <w:t>Koemans et al. 2023 - CAA progression framework.</w:t>
      </w:r>
    </w:p>
    <w:p>
      <w:pPr>
        <w:numPr>
          <w:ilvl w:val="0"/>
          <w:numId w:val="23"/>
        </w:numPr>
        <w:spacing w:before="0" w:after="80" w:line="300" w:lineRule="auto"/>
      </w:pPr>
      <w:r>
        <w:rPr>
          <w:rFonts w:ascii="Calibri" w:hAnsi="Calibri"/>
          <w:color w:val="000000"/>
          <w:sz w:val="22"/>
        </w:rPr>
        <w:t>van Veluw et al. 2024 - clearance debate.</w:t>
      </w:r>
    </w:p>
    <w:p>
      <w:pPr>
        <w:numPr>
          <w:ilvl w:val="0"/>
          <w:numId w:val="23"/>
        </w:numPr>
        <w:spacing w:before="0" w:after="80" w:line="300" w:lineRule="auto"/>
      </w:pPr>
      <w:r>
        <w:rPr>
          <w:rFonts w:ascii="Calibri" w:hAnsi="Calibri"/>
          <w:color w:val="000000"/>
          <w:sz w:val="22"/>
        </w:rPr>
        <w:t>Perosa et al. 2022 - PVS-pathology spatial link.</w:t>
      </w:r>
    </w:p>
    <w:p>
      <w:pPr>
        <w:numPr>
          <w:ilvl w:val="0"/>
          <w:numId w:val="23"/>
        </w:numPr>
        <w:spacing w:before="0" w:after="80" w:line="300" w:lineRule="auto"/>
      </w:pPr>
      <w:r>
        <w:rPr>
          <w:rFonts w:ascii="Calibri" w:hAnsi="Calibri"/>
          <w:color w:val="000000"/>
          <w:sz w:val="22"/>
        </w:rPr>
        <w:t>Kozberg et al. 2022 - BBB leakage/inflammation.</w:t>
      </w:r>
    </w:p>
    <w:p>
      <w:pPr>
        <w:numPr>
          <w:ilvl w:val="0"/>
          <w:numId w:val="23"/>
        </w:numPr>
        <w:spacing w:before="0" w:after="80" w:line="300" w:lineRule="auto"/>
      </w:pPr>
      <w:r>
        <w:rPr>
          <w:rFonts w:ascii="Calibri" w:hAnsi="Calibri"/>
          <w:color w:val="000000"/>
          <w:sz w:val="22"/>
        </w:rPr>
        <w:t>van den Brink et al. 2024 - neuroinflammation synthesis.</w:t>
      </w:r>
    </w:p>
    <w:p>
      <w:pPr>
        <w:numPr>
          <w:ilvl w:val="0"/>
          <w:numId w:val="23"/>
        </w:numPr>
        <w:spacing w:before="0" w:after="80" w:line="300" w:lineRule="auto"/>
      </w:pPr>
      <w:r>
        <w:rPr>
          <w:rFonts w:ascii="Calibri" w:hAnsi="Calibri"/>
          <w:color w:val="000000"/>
          <w:sz w:val="22"/>
        </w:rPr>
        <w:t>Perosa et al. 2023 - false-positive CAA microbleeds.</w:t>
      </w:r>
    </w:p>
    <w:p>
      <w:pPr>
        <w:numPr>
          <w:ilvl w:val="0"/>
          <w:numId w:val="23"/>
        </w:numPr>
        <w:spacing w:before="0" w:after="80" w:line="300" w:lineRule="auto"/>
      </w:pPr>
      <w:r>
        <w:rPr>
          <w:rFonts w:ascii="Calibri" w:hAnsi="Calibri"/>
          <w:color w:val="000000"/>
          <w:sz w:val="22"/>
        </w:rPr>
        <w:t>Perosa/Scherlek et al. 2021 - quantitative digital pathology.</w:t>
      </w:r>
    </w:p>
    <w:p>
      <w:pPr>
        <w:numPr>
          <w:ilvl w:val="0"/>
          <w:numId w:val="23"/>
        </w:numPr>
        <w:spacing w:before="0" w:after="80" w:line="300" w:lineRule="auto"/>
      </w:pPr>
      <w:r>
        <w:rPr>
          <w:rFonts w:ascii="Calibri" w:hAnsi="Calibri"/>
          <w:color w:val="000000"/>
          <w:sz w:val="22"/>
        </w:rPr>
        <w:t>Bangen et al./Arfanakis group - ARTS development.</w:t>
      </w:r>
    </w:p>
    <w:p>
      <w:pPr>
        <w:numPr>
          <w:ilvl w:val="0"/>
          <w:numId w:val="23"/>
        </w:numPr>
        <w:spacing w:before="0" w:after="80" w:line="300" w:lineRule="auto"/>
      </w:pPr>
      <w:r>
        <w:rPr>
          <w:rFonts w:ascii="Calibri" w:hAnsi="Calibri"/>
          <w:color w:val="000000"/>
          <w:sz w:val="22"/>
        </w:rPr>
        <w:t>MarkVCID ARTS validation.</w:t>
      </w:r>
    </w:p>
    <w:p>
      <w:pPr>
        <w:numPr>
          <w:ilvl w:val="0"/>
          <w:numId w:val="23"/>
        </w:numPr>
        <w:spacing w:before="0" w:after="80" w:line="300" w:lineRule="auto"/>
      </w:pPr>
      <w:r>
        <w:rPr>
          <w:rFonts w:ascii="Calibri" w:hAnsi="Calibri"/>
          <w:color w:val="000000"/>
          <w:sz w:val="22"/>
        </w:rPr>
        <w:t>Skrobot et al. 2016 - VCING.</w:t>
      </w:r>
    </w:p>
    <w:p>
      <w:bookmarkStart w:id="151" w:name="section_142"/>
      <w:pPr>
        <w:pStyle w:val="Heading2"/>
      </w:pPr>
      <w:r>
        <w:t>Reading-note rule</w:t>
      </w:r>
      <w:bookmarkEnd w:id="151"/>
    </w:p>
    <w:p>
      <w:pPr>
        <w:spacing w:before="0" w:after="120" w:line="300" w:lineRule="auto"/>
      </w:pPr>
      <w:r>
        <w:rPr>
          <w:rFonts w:ascii="Calibri" w:hAnsi="Calibri"/>
          <w:color w:val="000000"/>
          <w:sz w:val="22"/>
        </w:rPr>
        <w:t>Never write only "the authors found X." Record population, sample size, selection, exposure/marker, outcome/reference standard, timing, location, effect estimate with uncertainty, adjustment set, failure/missingness, and the narrowest justified conclusion.</w:t>
      </w:r>
    </w:p>
    <w:p>
      <w:bookmarkStart w:id="152" w:name="section_143"/>
      <w:pPr>
        <w:pStyle w:val="Heading1"/>
      </w:pPr>
      <w:r>
        <w:t>Appendix A. Research Question and Completeness Atlas</w:t>
      </w:r>
      <w:bookmarkEnd w:id="152"/>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question is the maintained unit. Each record states the current answer boundary, the missing piece, and the most decisive feasible design. Critical gap means important and unresolved - not unimportant.</w:t>
      </w:r>
    </w:p>
    <w:p>
      <w:bookmarkStart w:id="153" w:name="section_144"/>
      <w:pPr>
        <w:pStyle w:val="Heading2"/>
      </w:pPr>
      <w:r>
        <w:t>Pathology</w:t>
      </w:r>
      <w:bookmarkEnd w:id="153"/>
    </w:p>
    <w:p>
      <w:pPr>
        <w:keepNext/>
        <w:spacing w:before="160" w:after="80"/>
      </w:pPr>
      <w:r>
        <w:rPr>
          <w:rFonts w:ascii="Calibri" w:hAnsi="Calibri"/>
          <w:b/>
          <w:color w:val="1F4D78"/>
          <w:sz w:val="22"/>
        </w:rPr>
        <w:t>Q001 | What vessel-wall features constitute brain arteriolosclerosis, and which should remain separate constructs?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label is heterogeneous and operational definitions vary.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Consensus construct ontology linked to reproducible quantitative measurements.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digital-pathology calibration with shared slides and blinded raters</w:t>
      </w:r>
    </w:p>
    <w:p>
      <w:pPr>
        <w:ind w:left="259"/>
      </w:pPr>
      <w:r>
        <w:rPr>
          <w:rFonts w:ascii="Calibri" w:hAnsi="Calibri"/>
          <w:b/>
          <w:color w:val="203748"/>
          <w:sz w:val="18"/>
        </w:rPr>
        <w:t xml:space="preserve">Frame: </w:t>
      </w:r>
      <w:r>
        <w:rPr>
          <w:rFonts w:ascii="Calibri" w:hAnsi="Calibri"/>
          <w:i/>
          <w:color w:val="5A626C"/>
          <w:sz w:val="18"/>
        </w:rPr>
        <w:t>Population=Older adult human brain tissue; index/exposure=Hyalinosis, sclerosis, fibrosis, wall thickening, luminal narrowing, smooth-muscle loss; reference=Region- and vessel-level quantitative pathology; outcome=Construct validity and reproducibility</w:t>
      </w:r>
    </w:p>
    <w:p>
      <w:pPr>
        <w:keepNext/>
        <w:spacing w:before="160" w:after="80"/>
      </w:pPr>
      <w:r>
        <w:rPr>
          <w:rFonts w:ascii="Calibri" w:hAnsi="Calibri"/>
          <w:b/>
          <w:color w:val="1F4D78"/>
          <w:sz w:val="22"/>
        </w:rPr>
        <w:t>Q002 | How should regional arteriolosclerosis measurements be aggregated into a person-level burden?</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universally accepted aggregation rule exists.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Sampling theory for spatially heterogeneous disease.</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Dense multiregion sampling with bootstrap stability and external outcome validation</w:t>
      </w:r>
    </w:p>
    <w:p>
      <w:pPr>
        <w:ind w:left="259"/>
      </w:pPr>
      <w:r>
        <w:rPr>
          <w:rFonts w:ascii="Calibri" w:hAnsi="Calibri"/>
          <w:b/>
          <w:color w:val="203748"/>
          <w:sz w:val="18"/>
        </w:rPr>
        <w:t xml:space="preserve">Frame: </w:t>
      </w:r>
      <w:r>
        <w:rPr>
          <w:rFonts w:ascii="Calibri" w:hAnsi="Calibri"/>
          <w:i/>
          <w:color w:val="5A626C"/>
          <w:sz w:val="18"/>
        </w:rPr>
        <w:t>Population=Autopsy cohorts with multiregion sampling; index/exposure=Regional vessel pathology; reference=Whole-brain sampling model; outcome=Person-level validity and prediction</w:t>
      </w:r>
    </w:p>
    <w:p>
      <w:bookmarkStart w:id="154" w:name="section_145"/>
      <w:pPr>
        <w:pStyle w:val="Heading2"/>
      </w:pPr>
      <w:r>
        <w:t>Measurement</w:t>
      </w:r>
      <w:bookmarkEnd w:id="154"/>
    </w:p>
    <w:p>
      <w:pPr>
        <w:keepNext/>
        <w:spacing w:before="160" w:after="80"/>
      </w:pPr>
      <w:r>
        <w:rPr>
          <w:rFonts w:ascii="Calibri" w:hAnsi="Calibri"/>
          <w:b/>
          <w:color w:val="1F4D78"/>
          <w:sz w:val="22"/>
        </w:rPr>
        <w:t>Q003 | What minimum MRI protocol is required to phenotype hemorrhagic and nonhemorrhagic cSVD reproducibly?</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Core structural and susceptibility-sensitive sequences are necessary, but protocol effects remain substantial.</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sequence-ablation evidence across scanners.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Multivendor scan-rescan study with blinded sequence-ablation reading</w:t>
      </w:r>
    </w:p>
    <w:p>
      <w:pPr>
        <w:ind w:left="259"/>
      </w:pPr>
      <w:r>
        <w:rPr>
          <w:rFonts w:ascii="Calibri" w:hAnsi="Calibri"/>
          <w:b/>
          <w:color w:val="203748"/>
          <w:sz w:val="18"/>
        </w:rPr>
        <w:t xml:space="preserve">Frame: </w:t>
      </w:r>
      <w:r>
        <w:rPr>
          <w:rFonts w:ascii="Calibri" w:hAnsi="Calibri"/>
          <w:i/>
          <w:color w:val="5A626C"/>
          <w:sz w:val="18"/>
        </w:rPr>
        <w:t>Population=Adults undergoing cSVD research MRI; index/exposure=T1, T2, FLAIR, DWI, susceptibility, and optional quantitative sequences; reference=STRIVE-aligned acquisition and expert image review; outcome=Feature detectability, reliability, and missingness</w:t>
      </w:r>
    </w:p>
    <w:p>
      <w:pPr>
        <w:keepNext/>
        <w:spacing w:before="160" w:after="80"/>
      </w:pPr>
      <w:r>
        <w:rPr>
          <w:rFonts w:ascii="Calibri" w:hAnsi="Calibri"/>
          <w:b/>
          <w:color w:val="1F4D78"/>
          <w:sz w:val="22"/>
        </w:rPr>
        <w:t>Q004 | Which cSVD measures are repeatable enough for longitudinal or treatment-response use?</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Some tools are repeatable, but repeatability does not imply biological or clinical validity.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Common change thresholds and error decomposition.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scan-rescan plus longitudinal progression study</w:t>
      </w:r>
    </w:p>
    <w:p>
      <w:pPr>
        <w:ind w:left="259"/>
      </w:pPr>
      <w:r>
        <w:rPr>
          <w:rFonts w:ascii="Calibri" w:hAnsi="Calibri"/>
          <w:b/>
          <w:color w:val="203748"/>
          <w:sz w:val="18"/>
        </w:rPr>
        <w:t xml:space="preserve">Frame: </w:t>
      </w:r>
      <w:r>
        <w:rPr>
          <w:rFonts w:ascii="Calibri" w:hAnsi="Calibri"/>
          <w:i/>
          <w:color w:val="5A626C"/>
          <w:sz w:val="18"/>
        </w:rPr>
        <w:t>Population=Stable and progressing cSVD cohorts; index/exposure=Visual ratings and quantitative biomarkers; reference=Prespecified repeatability and smallest-detectable-change standards; outcome=Reliability and sensitivity to change</w:t>
      </w:r>
    </w:p>
    <w:p>
      <w:bookmarkStart w:id="155" w:name="section_146"/>
      <w:pPr>
        <w:pStyle w:val="Heading2"/>
      </w:pPr>
      <w:r>
        <w:t>Caa Diagnosis</w:t>
      </w:r>
      <w:bookmarkEnd w:id="155"/>
    </w:p>
    <w:p>
      <w:pPr>
        <w:keepNext/>
        <w:spacing w:before="160" w:after="80"/>
      </w:pPr>
      <w:r>
        <w:rPr>
          <w:rFonts w:ascii="Calibri" w:hAnsi="Calibri"/>
          <w:b/>
          <w:color w:val="1F4D78"/>
          <w:sz w:val="22"/>
        </w:rPr>
        <w:t>Q005 | How accurately does Boston v2.0 identify CAA in symptomatic referral populations?</w:t>
      </w:r>
    </w:p>
    <w:p>
      <w:r>
        <w:rPr>
          <w:rFonts w:ascii="Calibri" w:hAnsi="Calibri"/>
          <w:b/>
          <w:color w:val="236B4A"/>
          <w:sz w:val="19"/>
        </w:rPr>
        <w:t>BOUNDED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Performance is strongest in populations resembling the derivation and symptomatic validation cohorts.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Independent prospective validation with uniform full reference standards.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multicentre blinded diagnostic cohort</w:t>
      </w:r>
    </w:p>
    <w:p>
      <w:pPr>
        <w:ind w:left="259"/>
      </w:pPr>
      <w:r>
        <w:rPr>
          <w:rFonts w:ascii="Calibri" w:hAnsi="Calibri"/>
          <w:b/>
          <w:color w:val="203748"/>
          <w:sz w:val="18"/>
        </w:rPr>
        <w:t xml:space="preserve">Frame: </w:t>
      </w:r>
      <w:r>
        <w:rPr>
          <w:rFonts w:ascii="Calibri" w:hAnsi="Calibri"/>
          <w:i/>
          <w:color w:val="5A626C"/>
          <w:sz w:val="18"/>
        </w:rPr>
        <w:t>Population=Age 50+ with ICH, TFNE, or cognitive presentation; index/exposure=Boston v2.0; reference=Neuropathology; outcome=Sensitivity, specificity, likelihood ratios, calibration</w:t>
      </w:r>
    </w:p>
    <w:p>
      <w:pPr>
        <w:keepNext/>
        <w:spacing w:before="160" w:after="80"/>
      </w:pPr>
      <w:r>
        <w:rPr>
          <w:rFonts w:ascii="Calibri" w:hAnsi="Calibri"/>
          <w:b/>
          <w:color w:val="1F4D78"/>
          <w:sz w:val="22"/>
        </w:rPr>
        <w:t>Q006 | How accurately does Boston v2.0 perform in nonhemorrhagic cognitive presentations?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Available validation suggests substantially weaker performance than in symptomatic hemorrhagic cohorts.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Larger representative pathology-linked cohorts.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memory-clinic-to-autopsy validation with competing AD pathology</w:t>
      </w:r>
    </w:p>
    <w:p>
      <w:pPr>
        <w:ind w:left="259"/>
      </w:pPr>
      <w:r>
        <w:rPr>
          <w:rFonts w:ascii="Calibri" w:hAnsi="Calibri"/>
          <w:b/>
          <w:color w:val="203748"/>
          <w:sz w:val="18"/>
        </w:rPr>
        <w:t xml:space="preserve">Frame: </w:t>
      </w:r>
      <w:r>
        <w:rPr>
          <w:rFonts w:ascii="Calibri" w:hAnsi="Calibri"/>
          <w:i/>
          <w:color w:val="5A626C"/>
          <w:sz w:val="18"/>
        </w:rPr>
        <w:t>Population=Memory-clinic or cognitive presentations without hemorrhage; index/exposure=Boston v2.0; reference=Autopsy or representative biopsy; outcome=Diagnostic accuracy and net benefit</w:t>
      </w:r>
    </w:p>
    <w:p>
      <w:pPr>
        <w:keepNext/>
        <w:spacing w:before="160" w:after="80"/>
      </w:pPr>
      <w:r>
        <w:rPr>
          <w:rFonts w:ascii="Calibri" w:hAnsi="Calibri"/>
          <w:b/>
          <w:color w:val="1F4D78"/>
          <w:sz w:val="22"/>
        </w:rPr>
        <w:t>Q007 | Can Boston v2.0 be used for community screening?</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Community sensitivity is limited and predictive values depend strongly on prevalence.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population-based evaluation and consequences of false classification.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Population screening study with autopsy follow-up and decision analysis</w:t>
      </w:r>
    </w:p>
    <w:p>
      <w:pPr>
        <w:ind w:left="259"/>
      </w:pPr>
      <w:r>
        <w:rPr>
          <w:rFonts w:ascii="Calibri" w:hAnsi="Calibri"/>
          <w:b/>
          <w:color w:val="203748"/>
          <w:sz w:val="18"/>
        </w:rPr>
        <w:t xml:space="preserve">Frame: </w:t>
      </w:r>
      <w:r>
        <w:rPr>
          <w:rFonts w:ascii="Calibri" w:hAnsi="Calibri"/>
          <w:i/>
          <w:color w:val="5A626C"/>
          <w:sz w:val="18"/>
        </w:rPr>
        <w:t>Population=Community-dwelling older adults; index/exposure=Boston v2.0; reference=Autopsy; outcome=Accuracy, predictive value, downstream burden</w:t>
      </w:r>
    </w:p>
    <w:p>
      <w:pPr>
        <w:keepNext/>
        <w:spacing w:before="160" w:after="80"/>
      </w:pPr>
      <w:r>
        <w:rPr>
          <w:rFonts w:ascii="Calibri" w:hAnsi="Calibri"/>
          <w:b/>
          <w:color w:val="1F4D78"/>
          <w:sz w:val="22"/>
        </w:rPr>
        <w:t>Q008 | Does cortical versus juxtacortical microbleed localization improve CAA specificity?</w:t>
      </w:r>
    </w:p>
    <w:p>
      <w:r>
        <w:rPr>
          <w:rFonts w:ascii="Calibri" w:hAnsi="Calibri"/>
          <w:b/>
          <w:color w:val="8F6715"/>
          <w:sz w:val="19"/>
        </w:rPr>
        <w:t>EMERGING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Histopathology suggests some false-positive lobar lesions arise from nonamyloid arteriolosclerosis.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Automated reproducible localization and prospective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Lesion-matched MRI-histology study with competing arteriolosclerosis</w:t>
      </w:r>
    </w:p>
    <w:p>
      <w:pPr>
        <w:ind w:left="259"/>
      </w:pPr>
      <w:r>
        <w:rPr>
          <w:rFonts w:ascii="Calibri" w:hAnsi="Calibri"/>
          <w:b/>
          <w:color w:val="203748"/>
          <w:sz w:val="18"/>
        </w:rPr>
        <w:t xml:space="preserve">Frame: </w:t>
      </w:r>
      <w:r>
        <w:rPr>
          <w:rFonts w:ascii="Calibri" w:hAnsi="Calibri"/>
          <w:i/>
          <w:color w:val="5A626C"/>
          <w:sz w:val="18"/>
        </w:rPr>
        <w:t>Population=Older adults with lobar microbleeds; index/exposure=Fine-grained lesion-to-cortex localization; reference=Lesion-level histopathology; outcome=Incremental specificity and reproducibility</w:t>
      </w:r>
    </w:p>
    <w:p>
      <w:bookmarkStart w:id="156" w:name="section_147"/>
      <w:pPr>
        <w:pStyle w:val="Heading2"/>
      </w:pPr>
      <w:r>
        <w:t>Caa Prognosis</w:t>
      </w:r>
      <w:bookmarkEnd w:id="156"/>
    </w:p>
    <w:p>
      <w:pPr>
        <w:keepNext/>
        <w:spacing w:before="160" w:after="80"/>
      </w:pPr>
      <w:r>
        <w:rPr>
          <w:rFonts w:ascii="Calibri" w:hAnsi="Calibri"/>
          <w:b/>
          <w:color w:val="1F4D78"/>
          <w:sz w:val="22"/>
        </w:rPr>
        <w:t>Q009 | How should cortical superficial siderosis extent and progression be used for prognosis?</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cSS is associated with recurrence risk, but treatment decisions require absolute and context-specific risk.</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Calibrated external models and treatment interaction evidence.</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competing-risk cohort with prespecified cSS progression</w:t>
      </w:r>
    </w:p>
    <w:p>
      <w:pPr>
        <w:ind w:left="259"/>
      </w:pPr>
      <w:r>
        <w:rPr>
          <w:rFonts w:ascii="Calibri" w:hAnsi="Calibri"/>
          <w:b/>
          <w:color w:val="203748"/>
          <w:sz w:val="18"/>
        </w:rPr>
        <w:t xml:space="preserve">Frame: </w:t>
      </w:r>
      <w:r>
        <w:rPr>
          <w:rFonts w:ascii="Calibri" w:hAnsi="Calibri"/>
          <w:i/>
          <w:color w:val="5A626C"/>
          <w:sz w:val="18"/>
        </w:rPr>
        <w:t>Population=Probable or pathology-confirmed CAA; index/exposure=Focal/disseminated cSS and interval change; reference=Recurrent hemorrhage and functional outcomes; outcome=Absolute risk and incremental value</w:t>
      </w:r>
    </w:p>
    <w:p>
      <w:bookmarkStart w:id="157" w:name="section_148"/>
      <w:pPr>
        <w:pStyle w:val="Heading2"/>
      </w:pPr>
      <w:r>
        <w:t>Caa Diagnosis</w:t>
      </w:r>
      <w:bookmarkEnd w:id="157"/>
    </w:p>
    <w:p>
      <w:pPr>
        <w:keepNext/>
        <w:spacing w:before="160" w:after="80"/>
      </w:pPr>
      <w:r>
        <w:rPr>
          <w:rFonts w:ascii="Calibri" w:hAnsi="Calibri"/>
          <w:b/>
          <w:color w:val="1F4D78"/>
          <w:sz w:val="22"/>
        </w:rPr>
        <w:t>Q010 | Does severe centrum semiovale PVS add independent diagnostic information for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CSO-PVS contributes to Boston v2.0 and spatial pathology evidence supports biological relevance.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external pathology-linked incremental-value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Blinded MRI-autopsy cohort with model comparison</w:t>
      </w:r>
    </w:p>
    <w:p>
      <w:pPr>
        <w:ind w:left="259"/>
      </w:pPr>
      <w:r>
        <w:rPr>
          <w:rFonts w:ascii="Calibri" w:hAnsi="Calibri"/>
          <w:b/>
          <w:color w:val="203748"/>
          <w:sz w:val="18"/>
        </w:rPr>
        <w:t xml:space="preserve">Frame: </w:t>
      </w:r>
      <w:r>
        <w:rPr>
          <w:rFonts w:ascii="Calibri" w:hAnsi="Calibri"/>
          <w:i/>
          <w:color w:val="5A626C"/>
          <w:sz w:val="18"/>
        </w:rPr>
        <w:t>Population=Suspected CAA; index/exposure=CSO-PVS severity; reference=Neuropathology; outcome=Incremental discrimination and calibration</w:t>
      </w:r>
    </w:p>
    <w:p>
      <w:pPr>
        <w:keepNext/>
        <w:spacing w:before="160" w:after="80"/>
      </w:pPr>
      <w:r>
        <w:rPr>
          <w:rFonts w:ascii="Calibri" w:hAnsi="Calibri"/>
          <w:b/>
          <w:color w:val="1F4D78"/>
          <w:sz w:val="22"/>
        </w:rPr>
        <w:t>Q011 | Is the multispot WMH pattern independently informative for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It contributes to Boston v2.0, but independent validation remains limited.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Standardized definition, reliability, and external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blinded imaging-pathology study</w:t>
      </w:r>
    </w:p>
    <w:p>
      <w:pPr>
        <w:ind w:left="259"/>
      </w:pPr>
      <w:r>
        <w:rPr>
          <w:rFonts w:ascii="Calibri" w:hAnsi="Calibri"/>
          <w:b/>
          <w:color w:val="203748"/>
          <w:sz w:val="18"/>
        </w:rPr>
        <w:t xml:space="preserve">Frame: </w:t>
      </w:r>
      <w:r>
        <w:rPr>
          <w:rFonts w:ascii="Calibri" w:hAnsi="Calibri"/>
          <w:i/>
          <w:color w:val="5A626C"/>
          <w:sz w:val="18"/>
        </w:rPr>
        <w:t>Population=Suspected CAA or mixed SVD; index/exposure=Multispot WMH rating; reference=Neuropathology; outcome=Reliability and incremental accuracy</w:t>
      </w:r>
    </w:p>
    <w:p>
      <w:pPr>
        <w:keepNext/>
        <w:spacing w:before="160" w:after="80"/>
      </w:pPr>
      <w:r>
        <w:rPr>
          <w:rFonts w:ascii="Calibri" w:hAnsi="Calibri"/>
          <w:b/>
          <w:color w:val="1F4D78"/>
          <w:sz w:val="22"/>
        </w:rPr>
        <w:t>Q012 | When do CT morphology and APOE genotype add value after lobar ICH?</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model can support CAA inference when MRI is unavailable, within its intended ICH context.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validation across ancestries and modern care pathways.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pragmatic diagnostic-impact study</w:t>
      </w:r>
    </w:p>
    <w:p>
      <w:pPr>
        <w:ind w:left="259"/>
      </w:pPr>
      <w:r>
        <w:rPr>
          <w:rFonts w:ascii="Calibri" w:hAnsi="Calibri"/>
          <w:b/>
          <w:color w:val="203748"/>
          <w:sz w:val="18"/>
        </w:rPr>
        <w:t xml:space="preserve">Frame: </w:t>
      </w:r>
      <w:r>
        <w:rPr>
          <w:rFonts w:ascii="Calibri" w:hAnsi="Calibri"/>
          <w:i/>
          <w:color w:val="5A626C"/>
          <w:sz w:val="18"/>
        </w:rPr>
        <w:t>Population=Spontaneous lobar ICH; index/exposure=Edinburgh CT plus APOE model; reference=Pathology; outcome=Accuracy, feasibility, and net benefit</w:t>
      </w:r>
    </w:p>
    <w:p>
      <w:bookmarkStart w:id="158" w:name="section_149"/>
      <w:pPr>
        <w:pStyle w:val="Heading2"/>
      </w:pPr>
      <w:r>
        <w:t>Arteriolosclerosis Diagnosis</w:t>
      </w:r>
      <w:bookmarkEnd w:id="158"/>
    </w:p>
    <w:p>
      <w:pPr>
        <w:keepNext/>
        <w:spacing w:before="160" w:after="80"/>
      </w:pPr>
      <w:r>
        <w:rPr>
          <w:rFonts w:ascii="Calibri" w:hAnsi="Calibri"/>
          <w:b/>
          <w:color w:val="1F4D78"/>
          <w:sz w:val="22"/>
        </w:rPr>
        <w:t>Q013 | What ante-mortem MRI phenotype best predicts pathology-confirmed brain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accepted MRI diagnostic criteria exist; current features are candidate phenotypes.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representative MRI-autopsy derivation and locked external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Two-cohort prospective or nested autopsy prediction study</w:t>
      </w:r>
    </w:p>
    <w:p>
      <w:pPr>
        <w:ind w:left="259"/>
      </w:pPr>
      <w:r>
        <w:rPr>
          <w:rFonts w:ascii="Calibri" w:hAnsi="Calibri"/>
          <w:b/>
          <w:color w:val="203748"/>
          <w:sz w:val="18"/>
        </w:rPr>
        <w:t xml:space="preserve">Frame: </w:t>
      </w:r>
      <w:r>
        <w:rPr>
          <w:rFonts w:ascii="Calibri" w:hAnsi="Calibri"/>
          <w:i/>
          <w:color w:val="5A626C"/>
          <w:sz w:val="18"/>
        </w:rPr>
        <w:t>Population=Older adults with MRI before death; index/exposure=Deep microbleeds, lacunes, WMH topography, diffusion, physiology, and demographics; reference=Standardized multiregion pathology; outcome=External discrimination, calibration, and net reclassification</w:t>
      </w:r>
    </w:p>
    <w:p>
      <w:pPr>
        <w:keepNext/>
        <w:spacing w:before="160" w:after="80"/>
      </w:pPr>
      <w:r>
        <w:rPr>
          <w:rFonts w:ascii="Calibri" w:hAnsi="Calibri"/>
          <w:b/>
          <w:color w:val="1F4D78"/>
          <w:sz w:val="22"/>
        </w:rPr>
        <w:t>Q014 | How specific are deep microbleeds for nonamyloid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Deep distribution is compatible with perforator disease but is not a direct pathology diagnosis.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Lesion-matched pathology with CAA and mixed-disease controls.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Multiregion lesion-to-vessel histology study</w:t>
      </w:r>
    </w:p>
    <w:p>
      <w:pPr>
        <w:ind w:left="259"/>
      </w:pPr>
      <w:r>
        <w:rPr>
          <w:rFonts w:ascii="Calibri" w:hAnsi="Calibri"/>
          <w:b/>
          <w:color w:val="203748"/>
          <w:sz w:val="18"/>
        </w:rPr>
        <w:t xml:space="preserve">Frame: </w:t>
      </w:r>
      <w:r>
        <w:rPr>
          <w:rFonts w:ascii="Calibri" w:hAnsi="Calibri"/>
          <w:i/>
          <w:color w:val="5A626C"/>
          <w:sz w:val="18"/>
        </w:rPr>
        <w:t>Population=Older adults with deep or mixed microbleeds; index/exposure=Deep lesion burden and microanatomic localization; reference=Lesion- and person-level pathology; outcome=Etiologic likelihood ratios</w:t>
      </w:r>
    </w:p>
    <w:p>
      <w:pPr>
        <w:keepNext/>
        <w:spacing w:before="160" w:after="80"/>
      </w:pPr>
      <w:r>
        <w:rPr>
          <w:rFonts w:ascii="Calibri" w:hAnsi="Calibri"/>
          <w:b/>
          <w:color w:val="1F4D78"/>
          <w:sz w:val="22"/>
        </w:rPr>
        <w:t>Q015 | Which lacune locations and morphologies are most informative for arteriolosclerosis?</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Lacunes are heterogeneous downstream injuries and current descriptors are not pathology-specific.</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Mechanism-adjudicated spatial pathology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MRI plus autopsy or surgical histology study</w:t>
      </w:r>
    </w:p>
    <w:p>
      <w:pPr>
        <w:ind w:left="259"/>
      </w:pPr>
      <w:r>
        <w:rPr>
          <w:rFonts w:ascii="Calibri" w:hAnsi="Calibri"/>
          <w:b/>
          <w:color w:val="203748"/>
          <w:sz w:val="18"/>
        </w:rPr>
        <w:t xml:space="preserve">Frame: </w:t>
      </w:r>
      <w:r>
        <w:rPr>
          <w:rFonts w:ascii="Calibri" w:hAnsi="Calibri"/>
          <w:i/>
          <w:color w:val="5A626C"/>
          <w:sz w:val="18"/>
        </w:rPr>
        <w:t>Population=Adults with lacunes; index/exposure=Location, shape, cavity characteristics, and surrounding tissue; reference=Regional arteriolar pathology and infarct mechanism adjudication; outcome=Specificity and reliability</w:t>
      </w:r>
    </w:p>
    <w:p>
      <w:pPr>
        <w:keepNext/>
        <w:spacing w:before="160" w:after="80"/>
      </w:pPr>
      <w:r>
        <w:rPr>
          <w:rFonts w:ascii="Calibri" w:hAnsi="Calibri"/>
          <w:b/>
          <w:color w:val="1F4D78"/>
          <w:sz w:val="22"/>
        </w:rPr>
        <w:t>Q016 | Can WMH spatial patterns distinguish arteriolosclerosis from CAA, AD, and mixed disease?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WMH are sensitive to tissue injury but highly nonspecific.</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pathology-linked spatial model with sequence harmonization.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Multicohort MRI-autopsy radiomics study with locked thresholds</w:t>
      </w:r>
    </w:p>
    <w:p>
      <w:pPr>
        <w:ind w:left="259"/>
      </w:pPr>
      <w:r>
        <w:rPr>
          <w:rFonts w:ascii="Calibri" w:hAnsi="Calibri"/>
          <w:b/>
          <w:color w:val="203748"/>
          <w:sz w:val="18"/>
        </w:rPr>
        <w:t xml:space="preserve">Frame: </w:t>
      </w:r>
      <w:r>
        <w:rPr>
          <w:rFonts w:ascii="Calibri" w:hAnsi="Calibri"/>
          <w:i/>
          <w:color w:val="5A626C"/>
          <w:sz w:val="18"/>
        </w:rPr>
        <w:t>Population=Older adults with WMH; index/exposure=Periventricular/deep pattern, shape, texture, and longitudinal expansion; reference=Multiregion pathology with mixed-disease modeling; outcome=Incremental etiologic classification</w:t>
      </w:r>
    </w:p>
    <w:p>
      <w:bookmarkStart w:id="159" w:name="section_150"/>
      <w:pPr>
        <w:pStyle w:val="Heading2"/>
      </w:pPr>
      <w:r>
        <w:t>Arteriolosclerosis Biomarker</w:t>
      </w:r>
      <w:bookmarkEnd w:id="159"/>
    </w:p>
    <w:p>
      <w:pPr>
        <w:keepNext/>
        <w:spacing w:before="160" w:after="80"/>
      </w:pPr>
      <w:r>
        <w:rPr>
          <w:rFonts w:ascii="Calibri" w:hAnsi="Calibri"/>
          <w:b/>
          <w:color w:val="1F4D78"/>
          <w:sz w:val="22"/>
        </w:rPr>
        <w:t>Q017 | Does ARTS externally predict pathology-confirmed arteriolosclerosis?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ARTS has promising development evidence but lacks strong independent pathology validation.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External locked validation outside ROSMAP-related development data.</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Independent preregistered MRI-autopsy validation</w:t>
      </w:r>
    </w:p>
    <w:p>
      <w:pPr>
        <w:ind w:left="259"/>
      </w:pPr>
      <w:r>
        <w:rPr>
          <w:rFonts w:ascii="Calibri" w:hAnsi="Calibri"/>
          <w:b/>
          <w:color w:val="203748"/>
          <w:sz w:val="18"/>
        </w:rPr>
        <w:t xml:space="preserve">Frame: </w:t>
      </w:r>
      <w:r>
        <w:rPr>
          <w:rFonts w:ascii="Calibri" w:hAnsi="Calibri"/>
          <w:i/>
          <w:color w:val="5A626C"/>
          <w:sz w:val="18"/>
        </w:rPr>
        <w:t>Population=Independent older-adult cohorts; index/exposure=ARTS score; reference=Standardized pathology; outcome=Discrimination, calibration, and decision utility</w:t>
      </w:r>
    </w:p>
    <w:p>
      <w:pPr>
        <w:keepNext/>
        <w:spacing w:before="160" w:after="80"/>
      </w:pPr>
      <w:r>
        <w:rPr>
          <w:rFonts w:ascii="Calibri" w:hAnsi="Calibri"/>
          <w:b/>
          <w:color w:val="1F4D78"/>
          <w:sz w:val="22"/>
        </w:rPr>
        <w:t>Q018 | Does ARTS add clinically meaningful information beyond conventional measures?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Associations and technical repeatability do not yet establish incremental clinical utility.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Head-to-head incremental-value and decision-curve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External cohort with locked model and prespecified utility thresholds</w:t>
      </w:r>
    </w:p>
    <w:p>
      <w:pPr>
        <w:ind w:left="259"/>
      </w:pPr>
      <w:r>
        <w:rPr>
          <w:rFonts w:ascii="Calibri" w:hAnsi="Calibri"/>
          <w:b/>
          <w:color w:val="203748"/>
          <w:sz w:val="18"/>
        </w:rPr>
        <w:t xml:space="preserve">Frame: </w:t>
      </w:r>
      <w:r>
        <w:rPr>
          <w:rFonts w:ascii="Calibri" w:hAnsi="Calibri"/>
          <w:i/>
          <w:color w:val="5A626C"/>
          <w:sz w:val="18"/>
        </w:rPr>
        <w:t>Population=Older adults with MRI; index/exposure=ARTS added to baseline model; reference=Pathology, cognition, vascular events; outcome=Incremental value and net benefit</w:t>
      </w:r>
    </w:p>
    <w:p>
      <w:bookmarkStart w:id="160" w:name="section_151"/>
      <w:pPr>
        <w:pStyle w:val="Heading2"/>
      </w:pPr>
      <w:r>
        <w:t>Pathology</w:t>
      </w:r>
      <w:bookmarkEnd w:id="160"/>
    </w:p>
    <w:p>
      <w:pPr>
        <w:keepNext/>
        <w:spacing w:before="160" w:after="80"/>
      </w:pPr>
      <w:r>
        <w:rPr>
          <w:rFonts w:ascii="Calibri" w:hAnsi="Calibri"/>
          <w:b/>
          <w:color w:val="1F4D78"/>
          <w:sz w:val="22"/>
        </w:rPr>
        <w:t>Q019 | How reproducible are visual and quantitative arteriolosclerosis ratings across regions and laboratories?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Quantitative methods are emerging, but a shared calibrated reference is absent.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Public reference slide set and round-robin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International blinded digital-pathology challenge</w:t>
      </w:r>
    </w:p>
    <w:p>
      <w:pPr>
        <w:ind w:left="259"/>
      </w:pPr>
      <w:r>
        <w:rPr>
          <w:rFonts w:ascii="Calibri" w:hAnsi="Calibri"/>
          <w:b/>
          <w:color w:val="203748"/>
          <w:sz w:val="18"/>
        </w:rPr>
        <w:t xml:space="preserve">Frame: </w:t>
      </w:r>
      <w:r>
        <w:rPr>
          <w:rFonts w:ascii="Calibri" w:hAnsi="Calibri"/>
          <w:i/>
          <w:color w:val="5A626C"/>
          <w:sz w:val="18"/>
        </w:rPr>
        <w:t>Population=Shared human tissue sections; index/exposure=Visual grades and digital morphometry; reference=Consensus reference and repeat reads; outcome=Interrater, interlab, and stain robustness</w:t>
      </w:r>
    </w:p>
    <w:p>
      <w:bookmarkStart w:id="161" w:name="section_152"/>
      <w:pPr>
        <w:pStyle w:val="Heading2"/>
      </w:pPr>
      <w:r>
        <w:t>Mechanism</w:t>
      </w:r>
      <w:bookmarkEnd w:id="161"/>
    </w:p>
    <w:p>
      <w:pPr>
        <w:keepNext/>
        <w:spacing w:before="160" w:after="80"/>
      </w:pPr>
      <w:r>
        <w:rPr>
          <w:rFonts w:ascii="Calibri" w:hAnsi="Calibri"/>
          <w:b/>
          <w:color w:val="1F4D78"/>
          <w:sz w:val="22"/>
        </w:rPr>
        <w:t>Q020 | Is impaired perivascular clearance an initiating cause, amplifier, or consequence of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Clearance impairment is coherent and spatially associated, but human direction and flux remain uncertain.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Direct human transport measurement before and during amyloid accumulation.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hereditary/sporadic multimodal transport study</w:t>
      </w:r>
    </w:p>
    <w:p>
      <w:pPr>
        <w:ind w:left="259"/>
      </w:pPr>
      <w:r>
        <w:rPr>
          <w:rFonts w:ascii="Calibri" w:hAnsi="Calibri"/>
          <w:b/>
          <w:color w:val="203748"/>
          <w:sz w:val="18"/>
        </w:rPr>
        <w:t xml:space="preserve">Frame: </w:t>
      </w:r>
      <w:r>
        <w:rPr>
          <w:rFonts w:ascii="Calibri" w:hAnsi="Calibri"/>
          <w:i/>
          <w:color w:val="5A626C"/>
          <w:sz w:val="18"/>
        </w:rPr>
        <w:t>Population=Preclinical, hereditary, and sporadic CAA; index/exposure=Direct or proxy clearance measures; reference=Longitudinal compartment-specific transport; outcome=Temporal and causal ordering</w:t>
      </w:r>
    </w:p>
    <w:p>
      <w:pPr>
        <w:keepNext/>
        <w:spacing w:before="160" w:after="80"/>
      </w:pPr>
      <w:r>
        <w:rPr>
          <w:rFonts w:ascii="Calibri" w:hAnsi="Calibri"/>
          <w:b/>
          <w:color w:val="1F4D78"/>
          <w:sz w:val="22"/>
        </w:rPr>
        <w:t>Q021 | Does vascular physiological dysfunction precede irreversible tissue injury?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CVR can precede WMH/PVS progression in SVD, but etiologic and causal specificity remain unresolved.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Repeated physiology and imaging with causal mediation and intervention.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longitudinal cohort with repeated measures</w:t>
      </w:r>
    </w:p>
    <w:p>
      <w:pPr>
        <w:ind w:left="259"/>
      </w:pPr>
      <w:r>
        <w:rPr>
          <w:rFonts w:ascii="Calibri" w:hAnsi="Calibri"/>
          <w:b/>
          <w:color w:val="203748"/>
          <w:sz w:val="18"/>
        </w:rPr>
        <w:t xml:space="preserve">Frame: </w:t>
      </w:r>
      <w:r>
        <w:rPr>
          <w:rFonts w:ascii="Calibri" w:hAnsi="Calibri"/>
          <w:i/>
          <w:color w:val="5A626C"/>
          <w:sz w:val="18"/>
        </w:rPr>
        <w:t>Population=Individuals across preclinical and clinical SVD stages; index/exposure=CVR, pulsatility, perfusion, and barrier measures; reference=Longitudinal lesion progression; outcome=Temporal precedence and mediation</w:t>
      </w:r>
    </w:p>
    <w:p>
      <w:pPr>
        <w:keepNext/>
        <w:spacing w:before="160" w:after="80"/>
      </w:pPr>
      <w:r>
        <w:rPr>
          <w:rFonts w:ascii="Calibri" w:hAnsi="Calibri"/>
          <w:b/>
          <w:color w:val="1F4D78"/>
          <w:sz w:val="22"/>
        </w:rPr>
        <w:t>Q022 | Is BBB leakage an early driver of CAA and arteriolosclerosis or a downstream marker?</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Leakage co-localizes with vessel injury and inflammation, but temporal direction in humans is uncertain.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serial permeability imaging anchored to pathology or strong etiologic models.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Spatial longitudinal imaging-pathology study</w:t>
      </w:r>
    </w:p>
    <w:p>
      <w:pPr>
        <w:ind w:left="259"/>
      </w:pPr>
      <w:r>
        <w:rPr>
          <w:rFonts w:ascii="Calibri" w:hAnsi="Calibri"/>
          <w:b/>
          <w:color w:val="203748"/>
          <w:sz w:val="18"/>
        </w:rPr>
        <w:t xml:space="preserve">Frame: </w:t>
      </w:r>
      <w:r>
        <w:rPr>
          <w:rFonts w:ascii="Calibri" w:hAnsi="Calibri"/>
          <w:i/>
          <w:color w:val="5A626C"/>
          <w:sz w:val="18"/>
        </w:rPr>
        <w:t>Population=Human tissue and in-vivo SVD stages; index/exposure=DCE-MRI and molecular leakage markers; reference=Spatial pathology and longitudinal change; outcome=Timing and mediation</w:t>
      </w:r>
    </w:p>
    <w:p>
      <w:pPr>
        <w:keepNext/>
        <w:spacing w:before="160" w:after="80"/>
      </w:pPr>
      <w:r>
        <w:rPr>
          <w:rFonts w:ascii="Calibri" w:hAnsi="Calibri"/>
          <w:b/>
          <w:color w:val="1F4D78"/>
          <w:sz w:val="22"/>
        </w:rPr>
        <w:t>Q023 | Which inflammatory pathways are causal, protective, or secondary in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Inflammation participates in CAA-ri and ARIA; its role in non-inflammatory CAA is less defined.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Mechanistically targeted longitudinal human studies with treatment perturbation.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Parallel CAA/CAA-ri/ARIA immune-phenotyping study</w:t>
      </w:r>
    </w:p>
    <w:p>
      <w:pPr>
        <w:ind w:left="259"/>
      </w:pPr>
      <w:r>
        <w:rPr>
          <w:rFonts w:ascii="Calibri" w:hAnsi="Calibri"/>
          <w:b/>
          <w:color w:val="203748"/>
          <w:sz w:val="18"/>
        </w:rPr>
        <w:t xml:space="preserve">Frame: </w:t>
      </w:r>
      <w:r>
        <w:rPr>
          <w:rFonts w:ascii="Calibri" w:hAnsi="Calibri"/>
          <w:i/>
          <w:color w:val="5A626C"/>
          <w:sz w:val="18"/>
        </w:rPr>
        <w:t>Population=Sporadic CAA, CAA-ri, ARIA, and models; index/exposure=Immune cells, complement, cytokines, antibodies; reference=Intervention-sensitive mechanistic endpoints; outcome=Causal contribution and heterogeneity</w:t>
      </w:r>
    </w:p>
    <w:p>
      <w:pPr>
        <w:keepNext/>
        <w:spacing w:before="160" w:after="80"/>
      </w:pPr>
      <w:r>
        <w:rPr>
          <w:rFonts w:ascii="Calibri" w:hAnsi="Calibri"/>
          <w:b/>
          <w:color w:val="1F4D78"/>
          <w:sz w:val="22"/>
        </w:rPr>
        <w:t>Q024 | How do pulsatility, stiffness, autoregulation, and smooth-muscle loss interact in deep perforator injury?</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 plausible network exists, but direct human causal chains are sparse.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Synchronized hemodynamics, high-resolution vessel imaging, and pathology.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multimodal deep-perforator study</w:t>
      </w:r>
    </w:p>
    <w:p>
      <w:pPr>
        <w:ind w:left="259"/>
      </w:pPr>
      <w:r>
        <w:rPr>
          <w:rFonts w:ascii="Calibri" w:hAnsi="Calibri"/>
          <w:b/>
          <w:color w:val="203748"/>
          <w:sz w:val="18"/>
        </w:rPr>
        <w:t xml:space="preserve">Frame: </w:t>
      </w:r>
      <w:r>
        <w:rPr>
          <w:rFonts w:ascii="Calibri" w:hAnsi="Calibri"/>
          <w:i/>
          <w:color w:val="5A626C"/>
          <w:sz w:val="18"/>
        </w:rPr>
        <w:t>Population=Aging and hypertensive SVD; index/exposure=Hemodynamic and vessel-wall measures; reference=Regional pathology and tissue injury; outcome=Mechanistic mediation</w:t>
      </w:r>
    </w:p>
    <w:p>
      <w:bookmarkStart w:id="162" w:name="section_153"/>
      <w:pPr>
        <w:pStyle w:val="Heading2"/>
      </w:pPr>
      <w:r>
        <w:t>Fluid Biomarkers</w:t>
      </w:r>
      <w:bookmarkEnd w:id="162"/>
    </w:p>
    <w:p>
      <w:pPr>
        <w:keepNext/>
        <w:spacing w:before="160" w:after="80"/>
      </w:pPr>
      <w:r>
        <w:rPr>
          <w:rFonts w:ascii="Calibri" w:hAnsi="Calibri"/>
          <w:b/>
          <w:color w:val="1F4D78"/>
          <w:sz w:val="22"/>
        </w:rPr>
        <w:t>Q025 | Can CSF or plasma distinguish CAA from AD and mixed amyloid disease?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standalone marker currently has adequate specificity and validation.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Pathology-linked multisite head-to-head assay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Prospective blinded diagnostic study with locked assays</w:t>
      </w:r>
    </w:p>
    <w:p>
      <w:pPr>
        <w:ind w:left="259"/>
      </w:pPr>
      <w:r>
        <w:rPr>
          <w:rFonts w:ascii="Calibri" w:hAnsi="Calibri"/>
          <w:b/>
          <w:color w:val="203748"/>
          <w:sz w:val="18"/>
        </w:rPr>
        <w:t xml:space="preserve">Frame: </w:t>
      </w:r>
      <w:r>
        <w:rPr>
          <w:rFonts w:ascii="Calibri" w:hAnsi="Calibri"/>
          <w:i/>
          <w:color w:val="5A626C"/>
          <w:sz w:val="18"/>
        </w:rPr>
        <w:t>Population=CAA, AD, mixed pathology, and controls; index/exposure=Amyloid isoforms, p-tau, GFAP, NfL, vascular markers; reference=Autopsy or validated multimodal reference; outcome=Incremental patient-level accuracy</w:t>
      </w:r>
    </w:p>
    <w:p>
      <w:bookmarkStart w:id="163" w:name="section_154"/>
      <w:pPr>
        <w:pStyle w:val="Heading2"/>
      </w:pPr>
      <w:r>
        <w:t>Molecular Imaging</w:t>
      </w:r>
      <w:bookmarkEnd w:id="163"/>
    </w:p>
    <w:p>
      <w:pPr>
        <w:keepNext/>
        <w:spacing w:before="160" w:after="80"/>
      </w:pPr>
      <w:r>
        <w:rPr>
          <w:rFonts w:ascii="Calibri" w:hAnsi="Calibri"/>
          <w:b/>
          <w:color w:val="1F4D78"/>
          <w:sz w:val="22"/>
        </w:rPr>
        <w:t>Q026 | Can regional amyloid PET distinguish vascular from parenchymal amyloid at the patient level?</w:t>
      </w:r>
    </w:p>
    <w:p>
      <w:r>
        <w:rPr>
          <w:rFonts w:ascii="Calibri" w:hAnsi="Calibri"/>
          <w:b/>
          <w:color w:val="8F6715"/>
          <w:sz w:val="19"/>
        </w:rPr>
        <w:t>EMERGING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Group-level regional differences exist, but pathology-specific patient thresholds are not validated.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multi-tracer PET-to-autopsy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Prespecified multicentre diagnostic study</w:t>
      </w:r>
    </w:p>
    <w:p>
      <w:pPr>
        <w:ind w:left="259"/>
      </w:pPr>
      <w:r>
        <w:rPr>
          <w:rFonts w:ascii="Calibri" w:hAnsi="Calibri"/>
          <w:b/>
          <w:color w:val="203748"/>
          <w:sz w:val="18"/>
        </w:rPr>
        <w:t xml:space="preserve">Frame: </w:t>
      </w:r>
      <w:r>
        <w:rPr>
          <w:rFonts w:ascii="Calibri" w:hAnsi="Calibri"/>
          <w:i/>
          <w:color w:val="5A626C"/>
          <w:sz w:val="18"/>
        </w:rPr>
        <w:t>Population=Suspected CAA, AD, and mixed disease; index/exposure=Regional tracer ratios and spatial models; reference=Autopsy compartment-specific amyloid; outcome=Threshold accuracy and transportability</w:t>
      </w:r>
    </w:p>
    <w:p>
      <w:bookmarkStart w:id="164" w:name="section_155"/>
      <w:pPr>
        <w:pStyle w:val="Heading2"/>
      </w:pPr>
      <w:r>
        <w:t>Quantitative Mri</w:t>
      </w:r>
      <w:bookmarkEnd w:id="164"/>
    </w:p>
    <w:p>
      <w:pPr>
        <w:keepNext/>
        <w:spacing w:before="160" w:after="80"/>
      </w:pPr>
      <w:r>
        <w:rPr>
          <w:rFonts w:ascii="Calibri" w:hAnsi="Calibri"/>
          <w:b/>
          <w:color w:val="1F4D78"/>
          <w:sz w:val="22"/>
        </w:rPr>
        <w:t>Q027 | Which diffusion metric best captures clinically meaningful SVD microstructural injury?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Several measures are reproducible and associated with cognition, but construct and etiologic specificity differ.</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Head-to-head harmonized comparison with pathology and longitudinal outcomes.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MarkVCID-style multicentre benchmark</w:t>
      </w:r>
    </w:p>
    <w:p>
      <w:pPr>
        <w:ind w:left="259"/>
      </w:pPr>
      <w:r>
        <w:rPr>
          <w:rFonts w:ascii="Calibri" w:hAnsi="Calibri"/>
          <w:b/>
          <w:color w:val="203748"/>
          <w:sz w:val="18"/>
        </w:rPr>
        <w:t xml:space="preserve">Frame: </w:t>
      </w:r>
      <w:r>
        <w:rPr>
          <w:rFonts w:ascii="Calibri" w:hAnsi="Calibri"/>
          <w:i/>
          <w:color w:val="5A626C"/>
          <w:sz w:val="18"/>
        </w:rPr>
        <w:t>Population=cSVD and VCID cohorts; index/exposure=PSMD, free water, DTI, NODDI, and related metrics; reference=Reproducibility, cognition, progression, and pathology; outcome=Incremental validity and responsiveness</w:t>
      </w:r>
    </w:p>
    <w:p>
      <w:pPr>
        <w:keepNext/>
        <w:spacing w:before="160" w:after="80"/>
      </w:pPr>
      <w:r>
        <w:rPr>
          <w:rFonts w:ascii="Calibri" w:hAnsi="Calibri"/>
          <w:b/>
          <w:color w:val="1F4D78"/>
          <w:sz w:val="22"/>
        </w:rPr>
        <w:t>Q028 | Are PSMD and free-water measures responsive and interpretable enough for trials?</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Technical and biological validation is advancing, but treatment responsiveness is not established.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trial-embedded repeatability and responsiveness study.</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Multisite intervention study with prespecified change thresholds</w:t>
      </w:r>
    </w:p>
    <w:p>
      <w:pPr>
        <w:ind w:left="259"/>
      </w:pPr>
      <w:r>
        <w:rPr>
          <w:rFonts w:ascii="Calibri" w:hAnsi="Calibri"/>
          <w:b/>
          <w:color w:val="203748"/>
          <w:sz w:val="18"/>
        </w:rPr>
        <w:t xml:space="preserve">Frame: </w:t>
      </w:r>
      <w:r>
        <w:rPr>
          <w:rFonts w:ascii="Calibri" w:hAnsi="Calibri"/>
          <w:i/>
          <w:color w:val="5A626C"/>
          <w:sz w:val="18"/>
        </w:rPr>
        <w:t>Population=VCID and cSVD intervention cohorts; index/exposure=PSMD and white-matter free water; reference=Change reliability and meaningful outcome; outcome=Treatment sensitivity and minimal important change</w:t>
      </w:r>
    </w:p>
    <w:p>
      <w:bookmarkStart w:id="165" w:name="section_156"/>
      <w:pPr>
        <w:pStyle w:val="Heading2"/>
      </w:pPr>
      <w:r>
        <w:t>Multimodal Diagnosis</w:t>
      </w:r>
      <w:bookmarkEnd w:id="165"/>
    </w:p>
    <w:p>
      <w:pPr>
        <w:keepNext/>
        <w:spacing w:before="160" w:after="80"/>
      </w:pPr>
      <w:r>
        <w:rPr>
          <w:rFonts w:ascii="Calibri" w:hAnsi="Calibri"/>
          <w:b/>
          <w:color w:val="1F4D78"/>
          <w:sz w:val="22"/>
        </w:rPr>
        <w:t>Q029 | Does multimodal integration improve etiologic inference beyond MRI alone?</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Multimodal integration is plausible but rarely tested against representative pathology.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Locked multimodal model with missing-data strategy and external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Two-stage development/validation MRI-autopsy study</w:t>
      </w:r>
    </w:p>
    <w:p>
      <w:pPr>
        <w:ind w:left="259"/>
      </w:pPr>
      <w:r>
        <w:rPr>
          <w:rFonts w:ascii="Calibri" w:hAnsi="Calibri"/>
          <w:b/>
          <w:color w:val="203748"/>
          <w:sz w:val="18"/>
        </w:rPr>
        <w:t xml:space="preserve">Frame: </w:t>
      </w:r>
      <w:r>
        <w:rPr>
          <w:rFonts w:ascii="Calibri" w:hAnsi="Calibri"/>
          <w:i/>
          <w:color w:val="5A626C"/>
          <w:sz w:val="18"/>
        </w:rPr>
        <w:t>Population=Suspected CAA or arteriolosclerosis; index/exposure=MRI plus fluid, PET, genetics, physiology, and clinical data; reference=Pathology; outcome=Calibration, incremental value, transportability</w:t>
      </w:r>
    </w:p>
    <w:p>
      <w:bookmarkStart w:id="166" w:name="section_157"/>
      <w:pPr>
        <w:pStyle w:val="Heading2"/>
      </w:pPr>
      <w:r>
        <w:t>Mixed Pathology</w:t>
      </w:r>
      <w:bookmarkEnd w:id="166"/>
    </w:p>
    <w:p>
      <w:pPr>
        <w:keepNext/>
        <w:spacing w:before="160" w:after="80"/>
      </w:pPr>
      <w:r>
        <w:rPr>
          <w:rFonts w:ascii="Calibri" w:hAnsi="Calibri"/>
          <w:b/>
          <w:color w:val="1F4D78"/>
          <w:sz w:val="22"/>
        </w:rPr>
        <w:t>Q030 | How do vascular amyloid and AD neuropathologic change interact to produce cognition?</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The pathologies often coexist; shared amyloid biology does not imply identical compartmental effects.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multiregion pathology cohort with preregistered interaction and mediation models.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Longitudinal autopsy cohort with independent replication</w:t>
      </w:r>
    </w:p>
    <w:p>
      <w:pPr>
        <w:ind w:left="259"/>
      </w:pPr>
      <w:r>
        <w:rPr>
          <w:rFonts w:ascii="Calibri" w:hAnsi="Calibri"/>
          <w:b/>
          <w:color w:val="203748"/>
          <w:sz w:val="18"/>
        </w:rPr>
        <w:t xml:space="preserve">Frame: </w:t>
      </w:r>
      <w:r>
        <w:rPr>
          <w:rFonts w:ascii="Calibri" w:hAnsi="Calibri"/>
          <w:i/>
          <w:color w:val="5A626C"/>
          <w:sz w:val="18"/>
        </w:rPr>
        <w:t>Population=Older adults with autopsy and longitudinal cognition; index/exposure=CAA and ADNC jointly; reference=Standardized pathology and cognitive trajectories; outcome=Additive versus interactive effects</w:t>
      </w:r>
    </w:p>
    <w:p>
      <w:pPr>
        <w:keepNext/>
        <w:spacing w:before="160" w:after="80"/>
      </w:pPr>
      <w:r>
        <w:rPr>
          <w:rFonts w:ascii="Calibri" w:hAnsi="Calibri"/>
          <w:b/>
          <w:color w:val="1F4D78"/>
          <w:sz w:val="22"/>
        </w:rPr>
        <w:t>Q031 | How do arteriolosclerosis and CAA jointly shape MRI phenotypes and outcomes?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Mixed pathology is common, but many diagnostic studies simplify it as exclusion or noise.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Factorial pathology-linked imaging analysis with sufficient dual-pathology cases.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Multicohort MRI-autopsy interaction study</w:t>
      </w:r>
    </w:p>
    <w:p>
      <w:pPr>
        <w:ind w:left="259"/>
      </w:pPr>
      <w:r>
        <w:rPr>
          <w:rFonts w:ascii="Calibri" w:hAnsi="Calibri"/>
          <w:b/>
          <w:color w:val="203748"/>
          <w:sz w:val="18"/>
        </w:rPr>
        <w:t xml:space="preserve">Frame: </w:t>
      </w:r>
      <w:r>
        <w:rPr>
          <w:rFonts w:ascii="Calibri" w:hAnsi="Calibri"/>
          <w:i/>
          <w:color w:val="5A626C"/>
          <w:sz w:val="18"/>
        </w:rPr>
        <w:t>Population=Older adults with both pathologies represented; index/exposure=Joint pathology burden and spatial distribution; reference=Multiregion pathology; outcome=Interaction, mediation, and classification error</w:t>
      </w:r>
    </w:p>
    <w:p>
      <w:pPr>
        <w:keepNext/>
        <w:spacing w:before="160" w:after="80"/>
      </w:pPr>
      <w:r>
        <w:rPr>
          <w:rFonts w:ascii="Calibri" w:hAnsi="Calibri"/>
          <w:b/>
          <w:color w:val="1F4D78"/>
          <w:sz w:val="22"/>
        </w:rPr>
        <w:t>Q032 | What links arteriolosclerosis to hippocampal sclerosis and LATE-related pathology?</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Associations exist, but shared age, vascular injury, and selective vulnerability remain competing explanations.</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Longitudinal and spatial mediation with replication.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Independent multiregion autopsy cohorts</w:t>
      </w:r>
    </w:p>
    <w:p>
      <w:pPr>
        <w:ind w:left="259"/>
      </w:pPr>
      <w:r>
        <w:rPr>
          <w:rFonts w:ascii="Calibri" w:hAnsi="Calibri"/>
          <w:b/>
          <w:color w:val="203748"/>
          <w:sz w:val="18"/>
        </w:rPr>
        <w:t xml:space="preserve">Frame: </w:t>
      </w:r>
      <w:r>
        <w:rPr>
          <w:rFonts w:ascii="Calibri" w:hAnsi="Calibri"/>
          <w:i/>
          <w:color w:val="5A626C"/>
          <w:sz w:val="18"/>
        </w:rPr>
        <w:t>Population=Oldest-old autopsy cohorts; index/exposure=Regional arteriolosclerosis burden; reference=Hippocampal sclerosis and TDP-43 staging; outcome=Independent association and mechanism</w:t>
      </w:r>
    </w:p>
    <w:p>
      <w:bookmarkStart w:id="167" w:name="section_158"/>
      <w:pPr>
        <w:pStyle w:val="Heading2"/>
      </w:pPr>
      <w:r>
        <w:t>Cognition</w:t>
      </w:r>
      <w:bookmarkEnd w:id="167"/>
    </w:p>
    <w:p>
      <w:pPr>
        <w:keepNext/>
        <w:spacing w:before="160" w:after="80"/>
      </w:pPr>
      <w:r>
        <w:rPr>
          <w:rFonts w:ascii="Calibri" w:hAnsi="Calibri"/>
          <w:b/>
          <w:color w:val="1F4D78"/>
          <w:sz w:val="22"/>
        </w:rPr>
        <w:t>Q033 | How much cognitive decline is mediated by infarcts, white-matter injury, network disruption, and neurodegeneration?</w:t>
      </w:r>
    </w:p>
    <w:p>
      <w:r>
        <w:rPr>
          <w:rFonts w:ascii="Calibri" w:hAnsi="Calibri"/>
          <w:b/>
          <w:color w:val="8B2D2D"/>
          <w:sz w:val="19"/>
        </w:rPr>
        <w:t>CRITICAL GAP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Multiple pathways likely operate simultaneously; simple adjusted regressions may obscure them.</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Temporal causal models with measurement-error correction and sensitivity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Harmonized longitudinal multimodal autopsy cohort</w:t>
      </w:r>
    </w:p>
    <w:p>
      <w:pPr>
        <w:ind w:left="259"/>
      </w:pPr>
      <w:r>
        <w:rPr>
          <w:rFonts w:ascii="Calibri" w:hAnsi="Calibri"/>
          <w:b/>
          <w:color w:val="203748"/>
          <w:sz w:val="18"/>
        </w:rPr>
        <w:t xml:space="preserve">Frame: </w:t>
      </w:r>
      <w:r>
        <w:rPr>
          <w:rFonts w:ascii="Calibri" w:hAnsi="Calibri"/>
          <w:i/>
          <w:color w:val="5A626C"/>
          <w:sz w:val="18"/>
        </w:rPr>
        <w:t>Population=Longitudinal aging cohorts; index/exposure=Pathology and intermediate imaging/network measures; reference=Repeated cognition and autopsy; outcome=Path-specific mediated effects</w:t>
      </w:r>
    </w:p>
    <w:p>
      <w:bookmarkStart w:id="168" w:name="section_159"/>
      <w:pPr>
        <w:pStyle w:val="Heading2"/>
      </w:pPr>
      <w:r>
        <w:t>Genetics</w:t>
      </w:r>
      <w:bookmarkEnd w:id="168"/>
    </w:p>
    <w:p>
      <w:pPr>
        <w:keepNext/>
        <w:spacing w:before="160" w:after="80"/>
      </w:pPr>
      <w:r>
        <w:rPr>
          <w:rFonts w:ascii="Calibri" w:hAnsi="Calibri"/>
          <w:b/>
          <w:color w:val="1F4D78"/>
          <w:sz w:val="22"/>
        </w:rPr>
        <w:t>Q034 | Which findings from hereditary CAA transport to sporadic CAA?</w:t>
      </w:r>
    </w:p>
    <w:p>
      <w:r>
        <w:rPr>
          <w:rFonts w:ascii="Calibri" w:hAnsi="Calibri"/>
          <w:b/>
          <w:color w:val="8F6715"/>
          <w:sz w:val="19"/>
        </w:rPr>
        <w:t>EMERGING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Hereditary CAA is mechanistically informative but differs in age, mutation, penetrance, and co-pathology.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Direct parallel phenotyping with formal transport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Matched hereditary-sporadic longitudinal study</w:t>
      </w:r>
    </w:p>
    <w:p>
      <w:pPr>
        <w:ind w:left="259"/>
      </w:pPr>
      <w:r>
        <w:rPr>
          <w:rFonts w:ascii="Calibri" w:hAnsi="Calibri"/>
          <w:b/>
          <w:color w:val="203748"/>
          <w:sz w:val="18"/>
        </w:rPr>
        <w:t xml:space="preserve">Frame: </w:t>
      </w:r>
      <w:r>
        <w:rPr>
          <w:rFonts w:ascii="Calibri" w:hAnsi="Calibri"/>
          <w:i/>
          <w:color w:val="5A626C"/>
          <w:sz w:val="18"/>
        </w:rPr>
        <w:t>Population=Hereditary and sporadic CAA cohorts; index/exposure=Shared imaging, fluid, physiology, and pathology measures; reference=Harmonized longitudinal phenotypes; outcome=Transportability and temporal sequence</w:t>
      </w:r>
    </w:p>
    <w:p>
      <w:pPr>
        <w:keepNext/>
        <w:spacing w:before="160" w:after="80"/>
      </w:pPr>
      <w:r>
        <w:rPr>
          <w:rFonts w:ascii="Calibri" w:hAnsi="Calibri"/>
          <w:b/>
          <w:color w:val="1F4D78"/>
          <w:sz w:val="22"/>
        </w:rPr>
        <w:t>Q035 | How does APOE modify CAA burden, hemorrhage, inflammation, and ARIA risk?</w:t>
      </w:r>
    </w:p>
    <w:p>
      <w:r>
        <w:rPr>
          <w:rFonts w:ascii="Calibri" w:hAnsi="Calibri"/>
          <w:b/>
          <w:color w:val="236B4A"/>
          <w:sz w:val="19"/>
        </w:rPr>
        <w:t>BOUNDED | HIGH</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APOE contributes meaningful risk information in some contexts but is neither necessary nor sufficient.</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Ancestry-diverse calibrated models with treatment interactions.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Large prospective real-world registry linked to standardized MRI</w:t>
      </w:r>
    </w:p>
    <w:p>
      <w:pPr>
        <w:ind w:left="259"/>
      </w:pPr>
      <w:r>
        <w:rPr>
          <w:rFonts w:ascii="Calibri" w:hAnsi="Calibri"/>
          <w:b/>
          <w:color w:val="203748"/>
          <w:sz w:val="18"/>
        </w:rPr>
        <w:t xml:space="preserve">Frame: </w:t>
      </w:r>
      <w:r>
        <w:rPr>
          <w:rFonts w:ascii="Calibri" w:hAnsi="Calibri"/>
          <w:i/>
          <w:color w:val="5A626C"/>
          <w:sz w:val="18"/>
        </w:rPr>
        <w:t>Population=Sporadic CAA and anti-amyloid-treated populations; index/exposure=APOE genotype; reference=Pathology and adjudicated outcomes; outcome=Incremental and interaction effects</w:t>
      </w:r>
    </w:p>
    <w:p>
      <w:bookmarkStart w:id="169" w:name="section_160"/>
      <w:pPr>
        <w:pStyle w:val="Heading2"/>
      </w:pPr>
      <w:r>
        <w:t>Inflammatory Caa</w:t>
      </w:r>
      <w:bookmarkEnd w:id="169"/>
    </w:p>
    <w:p>
      <w:pPr>
        <w:keepNext/>
        <w:spacing w:before="160" w:after="80"/>
      </w:pPr>
      <w:r>
        <w:rPr>
          <w:rFonts w:ascii="Calibri" w:hAnsi="Calibri"/>
          <w:b/>
          <w:color w:val="1F4D78"/>
          <w:sz w:val="22"/>
        </w:rPr>
        <w:t>Q036 | How accurately do clinicoradiologic criteria identify CAA-ri among realistic mimics?</w:t>
      </w:r>
    </w:p>
    <w:p>
      <w:r>
        <w:rPr>
          <w:rFonts w:ascii="Calibri" w:hAnsi="Calibri"/>
          <w:b/>
          <w:color w:val="236B4A"/>
          <w:sz w:val="19"/>
        </w:rPr>
        <w:t>BOUNDED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Criteria perform well in selected cohorts, but mimic-rich external accuracy is incompletely defined.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Prospective blinded study with infection, neoplasm, PRES, and vasculitis controls.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Multicentre diagnostic cohort</w:t>
      </w:r>
    </w:p>
    <w:p>
      <w:pPr>
        <w:ind w:left="259"/>
      </w:pPr>
      <w:r>
        <w:rPr>
          <w:rFonts w:ascii="Calibri" w:hAnsi="Calibri"/>
          <w:b/>
          <w:color w:val="203748"/>
          <w:sz w:val="18"/>
        </w:rPr>
        <w:t xml:space="preserve">Frame: </w:t>
      </w:r>
      <w:r>
        <w:rPr>
          <w:rFonts w:ascii="Calibri" w:hAnsi="Calibri"/>
          <w:i/>
          <w:color w:val="5A626C"/>
          <w:sz w:val="18"/>
        </w:rPr>
        <w:t>Population=Adults with subacute encephalopathy, seizures, or asymmetric FLAIR lesions; index/exposure=CAA-ri criteria; reference=Biopsy or adjudicated longitudinal diagnosis; outcome=Accuracy and biopsy avoidance</w:t>
      </w:r>
    </w:p>
    <w:p>
      <w:bookmarkStart w:id="170" w:name="section_161"/>
      <w:pPr>
        <w:pStyle w:val="Heading2"/>
      </w:pPr>
      <w:r>
        <w:t>Aria</w:t>
      </w:r>
      <w:bookmarkEnd w:id="170"/>
    </w:p>
    <w:p>
      <w:pPr>
        <w:keepNext/>
        <w:spacing w:before="160" w:after="80"/>
      </w:pPr>
      <w:r>
        <w:rPr>
          <w:rFonts w:ascii="Calibri" w:hAnsi="Calibri"/>
          <w:b/>
          <w:color w:val="1F4D78"/>
          <w:sz w:val="22"/>
        </w:rPr>
        <w:t>Q037 | Which baseline and dynamic markers predict symptomatic or severe ARIA?</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Known risk factors guide monitoring, but severe-event prediction remains limited.</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Large prospective real-world treatment registry with harmonized serial MRI.</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Registry-based external model development and validation</w:t>
      </w:r>
    </w:p>
    <w:p>
      <w:pPr>
        <w:ind w:left="259"/>
      </w:pPr>
      <w:r>
        <w:rPr>
          <w:rFonts w:ascii="Calibri" w:hAnsi="Calibri"/>
          <w:b/>
          <w:color w:val="203748"/>
          <w:sz w:val="18"/>
        </w:rPr>
        <w:t xml:space="preserve">Frame: </w:t>
      </w:r>
      <w:r>
        <w:rPr>
          <w:rFonts w:ascii="Calibri" w:hAnsi="Calibri"/>
          <w:i/>
          <w:color w:val="5A626C"/>
          <w:sz w:val="18"/>
        </w:rPr>
        <w:t>Population=Anti-amyloid-treated patients; index/exposure=Baseline CMB/cSS, APOE, dose, emerging imaging/fluid markers; reference=Adjudicated ARIA severity and outcomes; outcome=Absolute risk and dynamic prediction</w:t>
      </w:r>
    </w:p>
    <w:p>
      <w:bookmarkStart w:id="171" w:name="section_162"/>
      <w:pPr>
        <w:pStyle w:val="Heading2"/>
      </w:pPr>
      <w:r>
        <w:t>Progression</w:t>
      </w:r>
      <w:bookmarkEnd w:id="171"/>
    </w:p>
    <w:p>
      <w:pPr>
        <w:keepNext/>
        <w:spacing w:before="160" w:after="80"/>
      </w:pPr>
      <w:r>
        <w:rPr>
          <w:rFonts w:ascii="Calibri" w:hAnsi="Calibri"/>
          <w:b/>
          <w:color w:val="1F4D78"/>
          <w:sz w:val="22"/>
        </w:rPr>
        <w:t>Q038 | What is the temporal sequence from vascular dysfunction to nonhemorrhagic and hemorrhagic injury?</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A staged framework is plausible, but individual-level transition evidence remains incomplete.</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Dense longitudinal multimodal sampling beginning before symptoms.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Hereditary-plus-sporadic natural-history platform</w:t>
      </w:r>
    </w:p>
    <w:p>
      <w:pPr>
        <w:ind w:left="259"/>
      </w:pPr>
      <w:r>
        <w:rPr>
          <w:rFonts w:ascii="Calibri" w:hAnsi="Calibri"/>
          <w:b/>
          <w:color w:val="203748"/>
          <w:sz w:val="18"/>
        </w:rPr>
        <w:t xml:space="preserve">Frame: </w:t>
      </w:r>
      <w:r>
        <w:rPr>
          <w:rFonts w:ascii="Calibri" w:hAnsi="Calibri"/>
          <w:i/>
          <w:color w:val="5A626C"/>
          <w:sz w:val="18"/>
        </w:rPr>
        <w:t>Population=Preclinical through symptomatic CAA and arteriolosclerosis; index/exposure=Repeated physiology, barrier, diffusion, lesion, and amyloid measures; reference=Longitudinal transitions and pathology; outcome=Ordering and transition rates</w:t>
      </w:r>
    </w:p>
    <w:p>
      <w:bookmarkStart w:id="172" w:name="section_163"/>
      <w:pPr>
        <w:pStyle w:val="Heading2"/>
      </w:pPr>
      <w:r>
        <w:t>Prognosis</w:t>
      </w:r>
      <w:bookmarkEnd w:id="172"/>
    </w:p>
    <w:p>
      <w:pPr>
        <w:keepNext/>
        <w:spacing w:before="160" w:after="80"/>
      </w:pPr>
      <w:r>
        <w:rPr>
          <w:rFonts w:ascii="Calibri" w:hAnsi="Calibri"/>
          <w:b/>
          <w:color w:val="1F4D78"/>
          <w:sz w:val="22"/>
        </w:rPr>
        <w:t>Q039 | Which combination best predicts hemorrhage, cognitive decline, disability, and death?</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Several markers are prognostic, but unified externally calibrated models are uncommon.</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Outcome-specific external validation and decision analysis.</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International prospective registry with locked models</w:t>
      </w:r>
    </w:p>
    <w:p>
      <w:pPr>
        <w:ind w:left="259"/>
      </w:pPr>
      <w:r>
        <w:rPr>
          <w:rFonts w:ascii="Calibri" w:hAnsi="Calibri"/>
          <w:b/>
          <w:color w:val="203748"/>
          <w:sz w:val="18"/>
        </w:rPr>
        <w:t xml:space="preserve">Frame: </w:t>
      </w:r>
      <w:r>
        <w:rPr>
          <w:rFonts w:ascii="Calibri" w:hAnsi="Calibri"/>
          <w:i/>
          <w:color w:val="5A626C"/>
          <w:sz w:val="18"/>
        </w:rPr>
        <w:t>Population=Phenotyped CAA and cSVD cohorts; index/exposure=Imaging, fluid, genetic, physiological, and clinical markers; reference=Prospective adjudicated outcomes; outcome=Calibration, competing risks, and net benefit</w:t>
      </w:r>
    </w:p>
    <w:p>
      <w:bookmarkStart w:id="173" w:name="section_164"/>
      <w:pPr>
        <w:pStyle w:val="Heading2"/>
      </w:pPr>
      <w:r>
        <w:t>Trials</w:t>
      </w:r>
      <w:bookmarkEnd w:id="173"/>
    </w:p>
    <w:p>
      <w:pPr>
        <w:keepNext/>
        <w:spacing w:before="160" w:after="80"/>
      </w:pPr>
      <w:r>
        <w:rPr>
          <w:rFonts w:ascii="Calibri" w:hAnsi="Calibri"/>
          <w:b/>
          <w:color w:val="1F4D78"/>
          <w:sz w:val="22"/>
        </w:rPr>
        <w:t>Q040 | Which biomarkers are sufficiently reliable, causal, and responsive to serve as trial endpoints?</w:t>
      </w:r>
    </w:p>
    <w:p>
      <w:r>
        <w:rPr>
          <w:rFonts w:ascii="Calibri" w:hAnsi="Calibri"/>
          <w:b/>
          <w:color w:val="8B2D2D"/>
          <w:sz w:val="19"/>
        </w:rPr>
        <w:t>CRITICAL GAP | ESSENTIAL</w:t>
      </w:r>
    </w:p>
    <w:p>
      <w:pPr>
        <w:spacing w:before="0" w:after="40" w:line="269" w:lineRule="auto"/>
        <w:ind w:left="259"/>
      </w:pPr>
      <w:r>
        <w:rPr>
          <w:rFonts w:ascii="Calibri" w:hAnsi="Calibri"/>
          <w:b/>
          <w:color w:val="203748"/>
          <w:sz w:val="19"/>
        </w:rPr>
        <w:t xml:space="preserve">Current answer: </w:t>
      </w:r>
      <w:r>
        <w:rPr>
          <w:rFonts w:ascii="Calibri" w:hAnsi="Calibri"/>
          <w:color w:val="000000"/>
          <w:sz w:val="19"/>
        </w:rPr>
        <w:t>No arteriolosclerosis biomarker and few CAA biomarkers meet the full chain from repeatability to clinical surrogacy.</w:t>
      </w:r>
    </w:p>
    <w:p>
      <w:pPr>
        <w:spacing w:before="0" w:after="40" w:line="269" w:lineRule="auto"/>
        <w:ind w:left="259"/>
      </w:pPr>
      <w:r>
        <w:rPr>
          <w:rFonts w:ascii="Calibri" w:hAnsi="Calibri"/>
          <w:b/>
          <w:color w:val="203748"/>
          <w:sz w:val="19"/>
        </w:rPr>
        <w:t xml:space="preserve">Missing piece: </w:t>
      </w:r>
      <w:r>
        <w:rPr>
          <w:rFonts w:ascii="Calibri" w:hAnsi="Calibri"/>
          <w:color w:val="000000"/>
          <w:sz w:val="19"/>
        </w:rPr>
        <w:t>Trial-embedded qualification with prespecified causal and clinical validation.</w:t>
      </w:r>
    </w:p>
    <w:p>
      <w:pPr>
        <w:spacing w:before="0" w:after="40" w:line="269" w:lineRule="auto"/>
        <w:ind w:left="259"/>
      </w:pPr>
      <w:r>
        <w:rPr>
          <w:rFonts w:ascii="Calibri" w:hAnsi="Calibri"/>
          <w:b/>
          <w:color w:val="203748"/>
          <w:sz w:val="19"/>
        </w:rPr>
        <w:t xml:space="preserve">Decisive design: </w:t>
      </w:r>
      <w:r>
        <w:rPr>
          <w:rFonts w:ascii="Calibri" w:hAnsi="Calibri"/>
          <w:color w:val="000000"/>
          <w:sz w:val="19"/>
        </w:rPr>
        <w:t>Multistage biomarker-qualification program</w:t>
      </w:r>
    </w:p>
    <w:p>
      <w:pPr>
        <w:ind w:left="259"/>
      </w:pPr>
      <w:r>
        <w:rPr>
          <w:rFonts w:ascii="Calibri" w:hAnsi="Calibri"/>
          <w:b/>
          <w:color w:val="203748"/>
          <w:sz w:val="18"/>
        </w:rPr>
        <w:t xml:space="preserve">Frame: </w:t>
      </w:r>
      <w:r>
        <w:rPr>
          <w:rFonts w:ascii="Calibri" w:hAnsi="Calibri"/>
          <w:i/>
          <w:color w:val="5A626C"/>
          <w:sz w:val="18"/>
        </w:rPr>
        <w:t>Population=Intervention-ready CAA and arteriolosclerosis cohorts; index/exposure=Imaging, physiological, fluid, and digital-pathology biomarkers; reference=Treatment-induced change linked to patient benefit; outcome=Responsiveness and surrogacy</w:t>
      </w:r>
    </w:p>
    <w:p>
      <w:bookmarkStart w:id="174" w:name="section_165"/>
      <w:pPr>
        <w:pStyle w:val="Heading1"/>
      </w:pPr>
      <w:r>
        <w:t>Appendix B. Contradiction and Falsification Atlas</w:t>
      </w:r>
      <w:bookmarkEnd w:id="174"/>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A useful hypothesis survives contact with its best counterevidence. These records prevent narrative enthusiasm from replacing a testable scientific claim.</w:t>
      </w:r>
    </w:p>
    <w:p>
      <w:pPr>
        <w:keepNext/>
        <w:spacing w:before="160" w:after="80"/>
      </w:pPr>
      <w:r>
        <w:rPr>
          <w:rFonts w:ascii="Calibri" w:hAnsi="Calibri"/>
          <w:b/>
          <w:color w:val="1F4D78"/>
          <w:sz w:val="22"/>
        </w:rPr>
        <w:t>H001 | Perivascular clearance failure is an initiating driver of sporadic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Anatomical plausibility, vascular amyloid distribution, hereditary/experimental models, and spatial PVS-pathology associations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Human flow direction and temporal onset are not directly established; clearance impairment may be secondary to vessel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Production, vessel affinity, age-related matrix change, pulsatility, and BBB dysfunction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Normal direct clearance before and during early vascular amyloid accumulation despite sensitive measurement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Longitudinal compartment-specific human transport study beginning before imaging disease</w:t>
            </w:r>
          </w:p>
        </w:tc>
      </w:tr>
    </w:tbl>
    <w:p>
      <w:pPr>
        <w:keepNext/>
        <w:spacing w:before="160" w:after="80"/>
      </w:pPr>
      <w:r>
        <w:rPr>
          <w:rFonts w:ascii="Calibri" w:hAnsi="Calibri"/>
          <w:b/>
          <w:color w:val="1F4D78"/>
          <w:sz w:val="22"/>
        </w:rPr>
        <w:t>H002 | Vascular physiological dysfunction precedes structural cSVD injury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Longitudinal CVR predicts later WMH/PVS progression; staged CAA frameworks place physiology before tissue injury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Reverse causation and shared vascular risks remain possible; clinical outcomes were not predicted at one year in MSS3</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Existing microscopic tissue injury could impair measured reactivity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Repeated normal physiology immediately before incident lesions in adequately powered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Repeated physiology and structural imaging with cross-lagged and intervention analyses</w:t>
            </w:r>
          </w:p>
        </w:tc>
      </w:tr>
    </w:tbl>
    <w:p>
      <w:pPr>
        <w:keepNext/>
        <w:spacing w:before="160" w:after="80"/>
      </w:pPr>
      <w:r>
        <w:rPr>
          <w:rFonts w:ascii="Calibri" w:hAnsi="Calibri"/>
          <w:b/>
          <w:color w:val="1F4D78"/>
          <w:sz w:val="22"/>
        </w:rPr>
        <w:t>H003 | BBB leakage is an early causal amplifier of CAA vessel injury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Leakage and inflammation increase with histologic vessel injury and fit ARIA/CAA-ri biology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Human evidence is mainly cross-sectional and leakage can follow vessel damage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Inflammation, ischemia, and amyloid toxicity independently generate permeability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leakage before progression when measured serially with sensitive methods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Serial DCE-MRI/fluid markers with spatial pathology and treatment perturbation</w:t>
            </w:r>
          </w:p>
        </w:tc>
      </w:tr>
    </w:tbl>
    <w:p>
      <w:pPr>
        <w:keepNext/>
        <w:spacing w:before="160" w:after="80"/>
      </w:pPr>
      <w:r>
        <w:rPr>
          <w:rFonts w:ascii="Calibri" w:hAnsi="Calibri"/>
          <w:b/>
          <w:color w:val="1F4D78"/>
          <w:sz w:val="22"/>
        </w:rPr>
        <w:t>H004 | A strictly lobar hemorrhagic pattern is sufficiently specific for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 pathology-linked enrichment and established Boston criteria performance in symptomatic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Nonamyloid arteriolosclerosis can produce some lobar/juxtacortical microbleeds; performance falls in other spectra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Trauma, embolic lesions, vascular malformations, treatment effects, and mixed disease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 rate of non-CAA pathology among rigorously localized strictly lobar lesions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Lesion-matched MRI-histology plus external diagnostic validation</w:t>
            </w:r>
          </w:p>
        </w:tc>
      </w:tr>
    </w:tbl>
    <w:p>
      <w:pPr>
        <w:keepNext/>
        <w:spacing w:before="160" w:after="80"/>
      </w:pPr>
      <w:r>
        <w:rPr>
          <w:rFonts w:ascii="Calibri" w:hAnsi="Calibri"/>
          <w:b/>
          <w:color w:val="1F4D78"/>
          <w:sz w:val="22"/>
        </w:rPr>
        <w:t>H005 | CSO-PVS are an in-vivo marker of regional cortical CAA burden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Spatial MRI-pathology association with overlying cortical amyloid and smooth-muscle loss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PVS are common with aging and multiple SVD mechanisms; rating and causal interpretation vary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Atrophy, altered interstitial fluid, venous factors, and other small-vessel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regional association in larger blinded pathology cohorts after confounding control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Multiregion MRI-autopsy mapping with reproducible automated PVS quantification</w:t>
            </w:r>
          </w:p>
        </w:tc>
      </w:tr>
    </w:tbl>
    <w:p>
      <w:pPr>
        <w:keepNext/>
        <w:spacing w:before="160" w:after="80"/>
      </w:pPr>
      <w:r>
        <w:rPr>
          <w:rFonts w:ascii="Calibri" w:hAnsi="Calibri"/>
          <w:b/>
          <w:color w:val="1F4D78"/>
          <w:sz w:val="22"/>
        </w:rPr>
        <w:t>H006 | A deep/perforator MRI pattern can diagnose brain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Biological plausibility and candidate associations of deep lesions, WMH, infarcts, diffusion,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accepted pathology-validated criteria; lesions are downstream, mixed, and sequence-dependent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embolism, diabetes, aging, AD, inflammation, and other arteriopathies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Poor external calibration against standardized multiregion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derivation plus independent locked MRI-autopsy validation</w:t>
            </w:r>
          </w:p>
        </w:tc>
      </w:tr>
    </w:tbl>
    <w:p>
      <w:pPr>
        <w:keepNext/>
        <w:spacing w:before="160" w:after="80"/>
      </w:pPr>
      <w:r>
        <w:rPr>
          <w:rFonts w:ascii="Calibri" w:hAnsi="Calibri"/>
          <w:b/>
          <w:color w:val="1F4D78"/>
          <w:sz w:val="22"/>
        </w:rPr>
        <w:t>H007 | Arteriolosclerosis independently causes cognitive decline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Autopsy associations persist after adjustment in several aging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Residual confounding, measurement error, mediation by infarcts/WMH, and cohort reuse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ADNC, LATE, hippocampal sclerosis, frailty,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association after robust measurement-error and causal-pathway modeling across independent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Replicated longitudinal autopsy mediation analysis with harmonized pathology</w:t>
            </w:r>
          </w:p>
        </w:tc>
      </w:tr>
    </w:tbl>
    <w:p>
      <w:pPr>
        <w:keepNext/>
        <w:spacing w:before="160" w:after="80"/>
      </w:pPr>
      <w:r>
        <w:rPr>
          <w:rFonts w:ascii="Calibri" w:hAnsi="Calibri"/>
          <w:b/>
          <w:color w:val="1F4D78"/>
          <w:sz w:val="22"/>
        </w:rPr>
        <w:t>H008 | ARTS is a valid in-vivo biomarker of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Pathology-linked development, reported AUC, translation to in-vivo MRI, and repeatability work</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independent pathology validation, selected cohorts, and uncertain incremental utility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ARTS may reflect general aging, WMH/diffusion injury, or vascular risk burden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of locked calibration/discrimination in an independent MRI-autopsy cohort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Independent preregistered external pathology validation against strong baselines</w:t>
            </w:r>
          </w:p>
        </w:tc>
      </w:tr>
    </w:tbl>
    <w:p>
      <w:pPr>
        <w:keepNext/>
        <w:spacing w:before="160" w:after="80"/>
      </w:pPr>
      <w:r>
        <w:rPr>
          <w:rFonts w:ascii="Calibri" w:hAnsi="Calibri"/>
          <w:b/>
          <w:color w:val="1F4D78"/>
          <w:sz w:val="22"/>
        </w:rPr>
        <w:t>H009 | CAA-ri and treatment-related ARIA lie on one inflammatory vascular-amyloid continuum</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Overlapping ARIA-E/ARIA-H imaging, vascular amyloid, permeability, inflammation, and occasional clinicopathologic resemblance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Distinct triggers, treatment exposure, natural history, ascertainment, and incomplete direct comparative data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Shared downstream injury from different initiating mechanisms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Consistently nonoverlapping immune, imaging, and pathology signatures in direct comparisons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Harmonized prospective CAA-ri versus ARIA multi-omic/imaging/pathology study</w:t>
            </w:r>
          </w:p>
        </w:tc>
      </w:tr>
    </w:tbl>
    <w:p>
      <w:pPr>
        <w:keepNext/>
        <w:spacing w:before="160" w:after="80"/>
      </w:pPr>
      <w:r>
        <w:rPr>
          <w:rFonts w:ascii="Calibri" w:hAnsi="Calibri"/>
          <w:b/>
          <w:color w:val="1F4D78"/>
          <w:sz w:val="22"/>
        </w:rPr>
        <w:t>H010 | Regional amyloid PET can distinguish CAA from AD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Meta-analysis finds lower global CAA uptake than AD and relatively higher occipital-to-global uptake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Most reference diagnoses are clinical; AD co-pathology and tracer heterogeneity blur compartments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Disease stage, tracer affinity, atrophy, and mixed parenchymal/vascular amyloid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patient-level separation against compartment-specific autopsy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multi-tracer PET-to-autopsy threshold validation</w:t>
            </w:r>
          </w:p>
        </w:tc>
      </w:tr>
    </w:tbl>
    <w:p>
      <w:pPr>
        <w:keepNext/>
        <w:spacing w:before="160" w:after="80"/>
      </w:pPr>
      <w:r>
        <w:rPr>
          <w:rFonts w:ascii="Calibri" w:hAnsi="Calibri"/>
          <w:b/>
          <w:color w:val="1F4D78"/>
          <w:sz w:val="22"/>
        </w:rPr>
        <w:t>H011 | A fluid biomarker panel can distinguish CAA from AD and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Disease-related amyloid, neuronal, inflammatory, endothelial, and pericyte signals are detectable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Substantial construct overlap, assay heterogeneity, and little pathology-linked external validation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Systemic vascular disease, renal function, age, AD, and nonspecific neurodegeneration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 incremental accuracy beyond clinical/MRI models in representative pathology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Locked multisite plasma/CSF panel tested against mixed autopsy pathology</w:t>
            </w:r>
          </w:p>
        </w:tc>
      </w:tr>
    </w:tbl>
    <w:p>
      <w:pPr>
        <w:keepNext/>
        <w:spacing w:before="160" w:after="80"/>
      </w:pPr>
      <w:r>
        <w:rPr>
          <w:rFonts w:ascii="Calibri" w:hAnsi="Calibri"/>
          <w:b/>
          <w:color w:val="1F4D78"/>
          <w:sz w:val="22"/>
        </w:rPr>
        <w:t>H012 | Mixed CAA, arteriolosclerosis, and neurodegenerative pathology interact rather than merely add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Lens</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record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evidence for</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Frequent co-occurrence, shared vascular/amyloid pathways, spatial vulnerability, and heterogeneous phenotypes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Strongest evidence against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Interaction estimates are underpowered, scale-dependent, and vulnerable to measurement error</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Alternative explanations</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Independent additive effects plus age-related co-occurrence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Falsifier</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Consistently additive models with good calibration across independent cohorts and scales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Decisive experiment</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replicated multiregion pathology-imaging cohort with prespecified interaction scales</w:t>
            </w:r>
          </w:p>
        </w:tc>
      </w:tr>
    </w:tbl>
    <w:p>
      <w:bookmarkStart w:id="175" w:name="section_166"/>
      <w:pPr>
        <w:pStyle w:val="Heading1"/>
      </w:pPr>
      <w:r>
        <w:t>Appendix C. Cohort Lineage and Independence</w:t>
      </w:r>
      <w:bookmarkEnd w:id="175"/>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Multiple publications from one recruitment stream do not constitute independent replication. Use this atlas before counting consistency across papers.</w:t>
      </w:r>
    </w:p>
    <w:p>
      <w:pPr>
        <w:keepNext/>
        <w:spacing w:before="160" w:after="80"/>
      </w:pPr>
      <w:r>
        <w:rPr>
          <w:rFonts w:ascii="Calibri" w:hAnsi="Calibri"/>
          <w:b/>
          <w:color w:val="1F4D78"/>
          <w:sz w:val="22"/>
        </w:rPr>
        <w:t>COH001 | Boston v2.0 multicentre tissue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Symptomatic referral patients with MRI and tissue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Biopsy, hematoma evacuation, or autopsy; full-autopsy 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Derivation, temporal, geographic, and full-autopsy analyses within one publication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Tissue verification and referral spectrum can inflate transportability</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Validation subsets are separated but arise from the same coordinated study program</w:t>
      </w:r>
    </w:p>
    <w:p>
      <w:pPr>
        <w:ind w:left="259"/>
      </w:pPr>
      <w:r>
        <w:rPr>
          <w:rFonts w:ascii="Calibri" w:hAnsi="Calibri"/>
          <w:b/>
          <w:color w:val="1F4D78"/>
          <w:sz w:val="19"/>
        </w:rPr>
        <w:t xml:space="preserve">Mapped studies: </w:t>
      </w:r>
      <w:r>
        <w:rPr>
          <w:rFonts w:ascii="Calibri" w:hAnsi="Calibri"/>
          <w:color w:val="5A626C"/>
          <w:sz w:val="19"/>
        </w:rPr>
        <w:t>S001 (derivation and internal/temporal/geographic validation)</w:t>
      </w:r>
    </w:p>
    <w:p>
      <w:pPr>
        <w:keepNext/>
        <w:spacing w:before="160" w:after="80"/>
      </w:pPr>
      <w:r>
        <w:rPr>
          <w:rFonts w:ascii="Calibri" w:hAnsi="Calibri"/>
          <w:b/>
          <w:color w:val="1F4D78"/>
          <w:sz w:val="22"/>
        </w:rPr>
        <w:t>COH002 | ROSMAP</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Religious Orders Study and Rush Memory and Aging Project</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Extensive autopsy program</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Boston transportability, ARTS development, arteriolosclerosis, cognition, and mixed-pathology studies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Volunteer, highly educated, older cohort; repeated reuse is not independent replication</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Publications may use overlapping participants and differently filtered subsets</w:t>
      </w:r>
    </w:p>
    <w:p>
      <w:pPr>
        <w:ind w:left="259"/>
      </w:pPr>
      <w:r>
        <w:rPr>
          <w:rFonts w:ascii="Calibri" w:hAnsi="Calibri"/>
          <w:b/>
          <w:color w:val="1F4D78"/>
          <w:sz w:val="19"/>
        </w:rPr>
        <w:t xml:space="preserve">Mapped studies: </w:t>
      </w:r>
      <w:r>
        <w:rPr>
          <w:rFonts w:ascii="Calibri" w:hAnsi="Calibri"/>
          <w:color w:val="5A626C"/>
          <w:sz w:val="19"/>
        </w:rPr>
        <w:t>S006 (ARTS pathology-linked development); S008 (outcome association); S009 (autopsy association); S012 (community Boston validation)</w:t>
      </w:r>
    </w:p>
    <w:p>
      <w:pPr>
        <w:keepNext/>
        <w:spacing w:before="160" w:after="80"/>
      </w:pPr>
      <w:r>
        <w:rPr>
          <w:rFonts w:ascii="Calibri" w:hAnsi="Calibri"/>
          <w:b/>
          <w:color w:val="1F4D78"/>
          <w:sz w:val="22"/>
        </w:rPr>
        <w:t>COH003 | Mayo nonhemorrhagic MRI-autopsy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Community/memory presentations without hemorrhage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Autopsy</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Boston v2.0 nonhemorrhagic validation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Small selected pathology subset and nonhemorrhagic spectrum</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Independent setting from Boston derivation but modest sample</w:t>
      </w:r>
    </w:p>
    <w:p>
      <w:pPr>
        <w:ind w:left="259"/>
      </w:pPr>
      <w:r>
        <w:rPr>
          <w:rFonts w:ascii="Calibri" w:hAnsi="Calibri"/>
          <w:b/>
          <w:color w:val="1F4D78"/>
          <w:sz w:val="19"/>
        </w:rPr>
        <w:t xml:space="preserve">Mapped studies: </w:t>
      </w:r>
      <w:r>
        <w:rPr>
          <w:rFonts w:ascii="Calibri" w:hAnsi="Calibri"/>
          <w:color w:val="5A626C"/>
          <w:sz w:val="19"/>
        </w:rPr>
        <w:t>S013 (nonhemorrhagic Boston validation)</w:t>
      </w:r>
    </w:p>
    <w:p>
      <w:pPr>
        <w:keepNext/>
        <w:spacing w:before="160" w:after="80"/>
      </w:pPr>
      <w:r>
        <w:rPr>
          <w:rFonts w:ascii="Calibri" w:hAnsi="Calibri"/>
          <w:b/>
          <w:color w:val="1F4D78"/>
          <w:sz w:val="22"/>
        </w:rPr>
        <w:t>COH004 | Mild Stroke Study 3</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Edinburgh/Lothian minor ischemic stroke services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None as primary reference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Cross-sectional and longitudinal CVR/SVD analyses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Stroke enrichment limits generalization to community aging and specific vessel pathology</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Analyses using the same cohort should not be counted as independent replication</w:t>
      </w:r>
    </w:p>
    <w:p>
      <w:pPr>
        <w:ind w:left="259"/>
      </w:pPr>
      <w:r>
        <w:rPr>
          <w:rFonts w:ascii="Calibri" w:hAnsi="Calibri"/>
          <w:b/>
          <w:color w:val="1F4D78"/>
          <w:sz w:val="19"/>
        </w:rPr>
        <w:t xml:space="preserve">Mapped studies: </w:t>
      </w:r>
      <w:r>
        <w:rPr>
          <w:rFonts w:ascii="Calibri" w:hAnsi="Calibri"/>
          <w:color w:val="5A626C"/>
          <w:sz w:val="19"/>
        </w:rPr>
        <w:t>S018 (longitudinal CVR prediction)</w:t>
      </w:r>
    </w:p>
    <w:p>
      <w:pPr>
        <w:keepNext/>
        <w:spacing w:before="160" w:after="80"/>
      </w:pPr>
      <w:r>
        <w:rPr>
          <w:rFonts w:ascii="Calibri" w:hAnsi="Calibri"/>
          <w:b/>
          <w:color w:val="1F4D78"/>
          <w:sz w:val="22"/>
        </w:rPr>
        <w:t>COH005 | MarkVCID multisite consortium</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Older adults across participating US sites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Variable; not the reference for most instrumental studies</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PSMD, free water, CVR, clinical and fluid protocols</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Heterogeneous sites improve transportability but outcomes often remain associative</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Sites may be analyzed independently, but consortium-wide papers share infrastructure and some participants</w:t>
      </w:r>
    </w:p>
    <w:p>
      <w:pPr>
        <w:ind w:left="259"/>
      </w:pPr>
      <w:r>
        <w:rPr>
          <w:rFonts w:ascii="Calibri" w:hAnsi="Calibri"/>
          <w:b/>
          <w:color w:val="1F4D78"/>
          <w:sz w:val="19"/>
        </w:rPr>
        <w:t xml:space="preserve">Mapped studies: </w:t>
      </w:r>
      <w:r>
        <w:rPr>
          <w:rFonts w:ascii="Calibri" w:hAnsi="Calibri"/>
          <w:color w:val="5A626C"/>
          <w:sz w:val="19"/>
        </w:rPr>
        <w:t>S017 (multisite CVR validation)</w:t>
      </w:r>
    </w:p>
    <w:p>
      <w:pPr>
        <w:keepNext/>
        <w:spacing w:before="160" w:after="80"/>
      </w:pPr>
      <w:r>
        <w:rPr>
          <w:rFonts w:ascii="Calibri" w:hAnsi="Calibri"/>
          <w:b/>
          <w:color w:val="1F4D78"/>
          <w:sz w:val="22"/>
        </w:rPr>
        <w:t>COH006 | ADNI</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Research volunteers across cognitive stages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Limited autopsy 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ARTS translation and outcome association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AD-focused selection and exclusions limit arteriolosclerosis generalization</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May be external to ROSMAP development but not representative clinical care</w:t>
      </w:r>
    </w:p>
    <w:p>
      <w:pPr>
        <w:ind w:left="259"/>
      </w:pPr>
      <w:r>
        <w:rPr>
          <w:rFonts w:ascii="Calibri" w:hAnsi="Calibri"/>
          <w:b/>
          <w:color w:val="1F4D78"/>
          <w:sz w:val="19"/>
        </w:rPr>
        <w:t xml:space="preserve">Mapped studies: </w:t>
      </w:r>
      <w:r>
        <w:rPr>
          <w:rFonts w:ascii="Calibri" w:hAnsi="Calibri"/>
          <w:color w:val="5A626C"/>
          <w:sz w:val="19"/>
        </w:rPr>
        <w:t>S008 (outcome association/transport)</w:t>
      </w:r>
    </w:p>
    <w:p>
      <w:pPr>
        <w:keepNext/>
        <w:spacing w:before="160" w:after="80"/>
      </w:pPr>
      <w:r>
        <w:rPr>
          <w:rFonts w:ascii="Calibri" w:hAnsi="Calibri"/>
          <w:b/>
          <w:color w:val="1F4D78"/>
          <w:sz w:val="22"/>
        </w:rPr>
        <w:t>COH007 | Edinburgh lobar ICH pathology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Adults with spontaneous lobar ICH</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Neuropathology in enrolled diagnostic sample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Edinburgh CT and genetic criteria</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Applies to lobar ICH, not cognitive or asymptomatic presentations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Distinct context from MRI-based Boston criteria</w:t>
      </w:r>
    </w:p>
    <w:p>
      <w:pPr>
        <w:ind w:left="259"/>
      </w:pPr>
      <w:r>
        <w:rPr>
          <w:rFonts w:ascii="Calibri" w:hAnsi="Calibri"/>
          <w:b/>
          <w:color w:val="1F4D78"/>
          <w:sz w:val="19"/>
        </w:rPr>
        <w:t xml:space="preserve">Mapped studies: </w:t>
      </w:r>
      <w:r>
        <w:rPr>
          <w:rFonts w:ascii="Calibri" w:hAnsi="Calibri"/>
          <w:color w:val="5A626C"/>
          <w:sz w:val="19"/>
        </w:rPr>
        <w:t>S002 (CT/genetic criterion development)</w:t>
      </w:r>
    </w:p>
    <w:p>
      <w:pPr>
        <w:keepNext/>
        <w:spacing w:before="160" w:after="80"/>
      </w:pPr>
      <w:r>
        <w:rPr>
          <w:rFonts w:ascii="Calibri" w:hAnsi="Calibri"/>
          <w:b/>
          <w:color w:val="1F4D78"/>
          <w:sz w:val="22"/>
        </w:rPr>
        <w:t>COH008 | Specialist CAA-ri comparative cohort</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CAA-ri and non-inflammatory CAA specialty care</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Subset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CAA-ri spectrum characterization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Referral enrichment and incorporation of imaging into diagnosis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Useful comparative phenotype evidence; not population accuracy</w:t>
      </w:r>
    </w:p>
    <w:p>
      <w:pPr>
        <w:ind w:left="259"/>
      </w:pPr>
      <w:r>
        <w:rPr>
          <w:rFonts w:ascii="Calibri" w:hAnsi="Calibri"/>
          <w:b/>
          <w:color w:val="1F4D78"/>
          <w:sz w:val="19"/>
        </w:rPr>
        <w:t xml:space="preserve">Mapped studies: </w:t>
      </w:r>
      <w:r>
        <w:rPr>
          <w:rFonts w:ascii="Calibri" w:hAnsi="Calibri"/>
          <w:color w:val="5A626C"/>
          <w:sz w:val="19"/>
        </w:rPr>
        <w:t>S021 (CAA-ri comparative phenotype)</w:t>
      </w:r>
    </w:p>
    <w:p>
      <w:pPr>
        <w:keepNext/>
        <w:spacing w:before="160" w:after="80"/>
      </w:pPr>
      <w:r>
        <w:rPr>
          <w:rFonts w:ascii="Calibri" w:hAnsi="Calibri"/>
          <w:b/>
          <w:color w:val="1F4D78"/>
          <w:sz w:val="22"/>
        </w:rPr>
        <w:t>COH009 | International postmortem CAA protocol network</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Eleven neuropathology groups</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Postmortem tissue is the target</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Consensus protocol development, appraisal, and validation</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Consensus improves comparability but does not eliminate sampling error</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Method paper rather than participant-outcome cohort</w:t>
      </w:r>
    </w:p>
    <w:p>
      <w:pPr>
        <w:keepNext/>
        <w:spacing w:before="160" w:after="80"/>
      </w:pPr>
      <w:r>
        <w:rPr>
          <w:rFonts w:ascii="Calibri" w:hAnsi="Calibri"/>
          <w:b/>
          <w:color w:val="1F4D78"/>
          <w:sz w:val="22"/>
        </w:rPr>
        <w:t>COH010 | Hereditary CAA family cohorts</w:t>
      </w:r>
    </w:p>
    <w:p>
      <w:pPr>
        <w:spacing w:before="0" w:after="40" w:line="269" w:lineRule="auto"/>
        <w:ind w:left="259"/>
      </w:pPr>
      <w:r>
        <w:rPr>
          <w:rFonts w:ascii="Calibri" w:hAnsi="Calibri"/>
          <w:b/>
          <w:color w:val="203748"/>
          <w:sz w:val="19"/>
        </w:rPr>
        <w:t xml:space="preserve">Recruitment: </w:t>
      </w:r>
      <w:r>
        <w:rPr>
          <w:rFonts w:ascii="Calibri" w:hAnsi="Calibri"/>
          <w:color w:val="000000"/>
          <w:sz w:val="19"/>
        </w:rPr>
        <w:t>Mutation-defined families, including Dutch-type CAA</w:t>
      </w:r>
    </w:p>
    <w:p>
      <w:pPr>
        <w:spacing w:before="0" w:after="40" w:line="269" w:lineRule="auto"/>
        <w:ind w:left="259"/>
      </w:pPr>
      <w:r>
        <w:rPr>
          <w:rFonts w:ascii="Calibri" w:hAnsi="Calibri"/>
          <w:b/>
          <w:color w:val="203748"/>
          <w:sz w:val="19"/>
        </w:rPr>
        <w:t xml:space="preserve">Pathology: </w:t>
      </w:r>
      <w:r>
        <w:rPr>
          <w:rFonts w:ascii="Calibri" w:hAnsi="Calibri"/>
          <w:color w:val="000000"/>
          <w:sz w:val="19"/>
        </w:rPr>
        <w:t>Variable</w:t>
      </w:r>
    </w:p>
    <w:p>
      <w:pPr>
        <w:spacing w:before="0" w:after="40" w:line="269" w:lineRule="auto"/>
        <w:ind w:left="259"/>
      </w:pPr>
      <w:r>
        <w:rPr>
          <w:rFonts w:ascii="Calibri" w:hAnsi="Calibri"/>
          <w:b/>
          <w:color w:val="203748"/>
          <w:sz w:val="19"/>
        </w:rPr>
        <w:t xml:space="preserve">Known reuse: </w:t>
      </w:r>
      <w:r>
        <w:rPr>
          <w:rFonts w:ascii="Calibri" w:hAnsi="Calibri"/>
          <w:color w:val="000000"/>
          <w:sz w:val="19"/>
        </w:rPr>
        <w:t>Natural history, risk factors, and mechanistic staging</w:t>
      </w:r>
    </w:p>
    <w:p>
      <w:pPr>
        <w:spacing w:before="0" w:after="40" w:line="269" w:lineRule="auto"/>
        <w:ind w:left="259"/>
      </w:pPr>
      <w:r>
        <w:rPr>
          <w:rFonts w:ascii="Calibri" w:hAnsi="Calibri"/>
          <w:b/>
          <w:color w:val="203748"/>
          <w:sz w:val="19"/>
        </w:rPr>
        <w:t xml:space="preserve">Bias relevance: </w:t>
      </w:r>
      <w:r>
        <w:rPr>
          <w:rFonts w:ascii="Calibri" w:hAnsi="Calibri"/>
          <w:color w:val="000000"/>
          <w:sz w:val="19"/>
        </w:rPr>
        <w:t>Founder effects, mutation specificity, younger age, and limited numbers</w:t>
      </w:r>
    </w:p>
    <w:p>
      <w:pPr>
        <w:spacing w:before="0" w:after="40" w:line="269" w:lineRule="auto"/>
        <w:ind w:left="259"/>
      </w:pPr>
      <w:r>
        <w:rPr>
          <w:rFonts w:ascii="Calibri" w:hAnsi="Calibri"/>
          <w:b/>
          <w:color w:val="203748"/>
          <w:sz w:val="19"/>
        </w:rPr>
        <w:t xml:space="preserve">Independence: </w:t>
      </w:r>
      <w:r>
        <w:rPr>
          <w:rFonts w:ascii="Calibri" w:hAnsi="Calibri"/>
          <w:color w:val="000000"/>
          <w:sz w:val="19"/>
        </w:rPr>
        <w:t>Different mutations should not be pooled without biological justification</w:t>
      </w:r>
    </w:p>
    <w:p>
      <w:bookmarkStart w:id="176" w:name="section_167"/>
      <w:pPr>
        <w:pStyle w:val="Heading1"/>
      </w:pPr>
      <w:r>
        <w:t>Appendix D. Diagnostic Evidence Profiles</w:t>
      </w:r>
      <w:bookmarkEnd w:id="176"/>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validation links are separate. Technical repeatability cannot substitute for biological specificity; diagnostic accuracy cannot substitute for utility.</w:t>
      </w:r>
    </w:p>
    <w:p>
      <w:pPr>
        <w:keepNext/>
        <w:spacing w:before="160" w:after="80"/>
      </w:pPr>
      <w:r>
        <w:rPr>
          <w:rFonts w:ascii="Calibri" w:hAnsi="Calibri"/>
          <w:b/>
          <w:color w:val="1F4D78"/>
          <w:sz w:val="22"/>
        </w:rPr>
        <w:t>DP001 | Boston criteria v2.0</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Etiologic classification of sporadic CAA in defined age/presentation contexts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Depends on high-quality hemorrhagic and nonhemorrhagic MRI marker rating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Markers are associated with CAA but are not individually pathognomonic</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Strongest in symptomatic tissue-selected cohorts; lower in community and nonhemorrhagic validations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Criteria category is not itself a complete outcome-risk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Adds nonhemorrhagic markers over earlier versions; context-dependent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outside populations resembling validation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Useful diagnostic framework when applied within intended context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Spectrum effects, mixed pathology, inadequate MRI, and using criteria as universal screening</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presentation-specific external validation with full reference standard</w:t>
            </w:r>
          </w:p>
        </w:tc>
      </w:tr>
    </w:tbl>
    <w:p>
      <w:pPr>
        <w:keepNext/>
        <w:spacing w:before="160" w:after="80"/>
      </w:pPr>
      <w:r>
        <w:rPr>
          <w:rFonts w:ascii="Calibri" w:hAnsi="Calibri"/>
          <w:b/>
          <w:color w:val="1F4D78"/>
          <w:sz w:val="22"/>
        </w:rPr>
        <w:t>DP002 | ARTS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prediction of pathology-linked arteriolosclerosis risk</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Promising repeatability evidence, including conference-level validation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Development linked MRI/demographic features to autopsy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Development AUC reported; independent external pathology accuracy not established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Associations with cognition and vascular outcomes reported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yet demonstrated against strong conventional baselines across independent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Uncertain beyond ROSMAP/ADNI-related research settings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established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Conflating reproducibility or outcome association with diagnostic validation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Locked independent MRI-autopsy validation with calibration and decision analysis</w:t>
            </w:r>
          </w:p>
        </w:tc>
      </w:tr>
    </w:tbl>
    <w:p>
      <w:pPr>
        <w:keepNext/>
        <w:spacing w:before="160" w:after="80"/>
      </w:pPr>
      <w:r>
        <w:rPr>
          <w:rFonts w:ascii="Calibri" w:hAnsi="Calibri"/>
          <w:b/>
          <w:color w:val="1F4D78"/>
          <w:sz w:val="22"/>
        </w:rPr>
        <w:t>DP003 | CVR MRI</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Physiological measurement of vascular reserve in SVD/VCID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Multisite protocol evidence exists; acquisition and gas delivery remain demanding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Measures vascular responsiveness and predicts some structural progression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 pathology-specific CAA or arteriolosclerosis threshold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Associated with cognition and one-year WMH/PVS progression; not all clinical outcomes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Needs comparison with conventional MRI and vascular risks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Promising across research sites; routine-care feasibility limited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Research only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Treating a general vascular-function signal as an etiologic diagnosis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Pathology-linked and intervention-responsive multisite qualification</w:t>
            </w:r>
          </w:p>
        </w:tc>
      </w:tr>
    </w:tbl>
    <w:p>
      <w:pPr>
        <w:keepNext/>
        <w:spacing w:before="160" w:after="80"/>
      </w:pPr>
      <w:r>
        <w:rPr>
          <w:rFonts w:ascii="Calibri" w:hAnsi="Calibri"/>
          <w:b/>
          <w:color w:val="1F4D78"/>
          <w:sz w:val="22"/>
        </w:rPr>
        <w:t>DP004 | Regional amyloid PET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differentiation of CAA, AD, and controls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Tracer and pipeline 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Detects fibrillar amyloid but vascular/parenchymal compartment assignment is indirect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Group-level regional differences; no validated universal patient threshold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Insufficient for routine CAA prognosis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Unclear beyond MRI and AD biomarkers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Limited by tracer, stage, and reference-standard heterogeneity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standalone CAA diagnosis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Calling amyloid positivity vascular CAA in an older person with AD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Multi-tracer PET-to-autopsy study with mixed-pathology modeling</w:t>
            </w:r>
          </w:p>
        </w:tc>
      </w:tr>
    </w:tbl>
    <w:p>
      <w:pPr>
        <w:keepNext/>
        <w:spacing w:before="160" w:after="80"/>
      </w:pPr>
      <w:r>
        <w:rPr>
          <w:rFonts w:ascii="Calibri" w:hAnsi="Calibri"/>
          <w:b/>
          <w:color w:val="1F4D78"/>
          <w:sz w:val="22"/>
        </w:rPr>
        <w:t>DP005 | CAA-ri clinicoradiologic criteria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Recognition of inflammatory CAA syndrome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Requires appropriate FLAIR, susceptibility, diffusion, and often contrast imaging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Phenotype reflects inflammatory/permeability injury around amyloid-laden vessels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Validated in selected cohorts; mimic-rich external performance remains uncertain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a complete treatment-response or relapse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Can reduce unnecessary biopsy when syndrome and imaging align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Best in specialist contexts with alternative-diagnosis assessment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Clinically useful with expert evaluation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Missing infection, neoplasm, PRES, vasculitis, or therapy-associated ARIA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Prospective blinded accuracy study including realistic mimics</w:t>
            </w:r>
          </w:p>
        </w:tc>
      </w:tr>
    </w:tbl>
    <w:p>
      <w:pPr>
        <w:keepNext/>
        <w:spacing w:before="160" w:after="80"/>
      </w:pPr>
      <w:r>
        <w:rPr>
          <w:rFonts w:ascii="Calibri" w:hAnsi="Calibri"/>
          <w:b/>
          <w:color w:val="1F4D78"/>
          <w:sz w:val="22"/>
        </w:rPr>
        <w:t>DP006 | Total SVD score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Compact summary of MRI burden</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Simple and reproducible when component ratings are reliable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Combines downstream injury markers from potentially different etiologies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intended to diagnose a vessel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Associated with clinical and network outcomes in several cohorts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May summarize burden efficiently but can discard spatial and continuous information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Reasonable for burden comparisons with harmonized definitions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Descriptive/prognostic research adjunct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Interpreting a burden score as CAA or arteriolosclerosis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Outcome-specific comparison with continuous and spatial measures</w:t>
            </w:r>
          </w:p>
        </w:tc>
      </w:tr>
    </w:tbl>
    <w:p>
      <w:pPr>
        <w:keepNext/>
        <w:spacing w:before="160" w:after="80"/>
      </w:pPr>
      <w:r>
        <w:rPr>
          <w:rFonts w:ascii="Calibri" w:hAnsi="Calibri"/>
          <w:b/>
          <w:color w:val="1F4D78"/>
          <w:sz w:val="22"/>
        </w:rPr>
        <w:t>DP007 | ARIA monitoring framework</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Validation link</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Context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Safety monitoring during anti-amyloid therapy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Technical validity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Standardized serial MRI and communication are central</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Biological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ARIA-E and ARIA-H reflect therapy-associated permeability/inflammatory and hemorrhagic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Diagnostic accuracy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Designed for treatment context, not spontaneous CAA diagnosis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Prognostic validity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Baseline markers inform risk; severe-event prediction remains limited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Provides operational safety value beyond unsystematic MRI review</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Transportability</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Therapy-, protocol-, and healthcare-system dependent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utility</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High within current treatment pathways using drug-specific guidance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Failure mode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Confusing ARIA with infarct, PRES, spontaneous CAA-ri, or other mimics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Next validation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Large real-world registry with standardized MRI and adjudicated severe outcomes</w:t>
            </w:r>
          </w:p>
        </w:tc>
      </w:tr>
    </w:tbl>
    <w:p>
      <w:bookmarkStart w:id="177" w:name="section_168"/>
      <w:pPr>
        <w:pStyle w:val="Heading1"/>
      </w:pPr>
      <w:r>
        <w:t>Appendix E. Phenotype Differential Matrix</w:t>
      </w:r>
      <w:bookmarkEnd w:id="177"/>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first column is an observation, not a diagnosis. Every row lists important alternatives and the evidence most capable of resolving the etiologic question.</w:t>
      </w:r>
    </w:p>
    <w:tbl>
      <w:tblPr>
        <w:tblStyle w:val="TableGrid"/>
        <w:tblW w:type="dxa" w:w="9360"/>
        <w:jc w:val="left"/>
        <w:tblLayout w:type="fixed"/>
        <w:tblLook w:firstColumn="1" w:firstRow="1" w:lastColumn="0" w:lastRow="0" w:noHBand="0" w:noVBand="1" w:val="04A0"/>
        <w:tblInd w:w="120" w:type="dxa"/>
      </w:tblPr>
      <w:tblGrid>
        <w:gridCol w:w="1800"/>
        <w:gridCol w:w="1500"/>
        <w:gridCol w:w="3960"/>
        <w:gridCol w:w="2100"/>
      </w:tblGrid>
      <w:tr>
        <w:trPr>
          <w:tblHeader w:val="true"/>
          <w:cantSplit/>
        </w:trPr>
        <w:tc>
          <w:tcPr>
            <w:tcW w:type="dxa" w:w="18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Observation</w:t>
            </w:r>
          </w:p>
        </w:tc>
        <w:tc>
          <w:tcPr>
            <w:tcW w:type="dxa" w:w="15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Raises probability</w:t>
            </w:r>
          </w:p>
        </w:tc>
        <w:tc>
          <w:tcPr>
            <w:tcW w:type="dxa" w:w="39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Alternatives / discriminators</w:t>
            </w:r>
          </w:p>
        </w:tc>
        <w:tc>
          <w:tcPr>
            <w:tcW w:type="dxa" w:w="21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Common error</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Strictly lobar cerebral microbleeds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Nonamyloid arteriolosclerosis, trauma, embolic phenomena, vascular malformation, treatment-related injury Discriminators: Cortical versus juxtacortical position, cSS, convexity SAH, age/presentation, sequence quality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Calling every lobar microbleed CAA</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cerebral microbleeds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perforator arteriopathy</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Mixed CAA/SVD, other vasculopathies, trauma Discriminators: Basal ganglia/thalamus/brainstem pattern, lacunes, vascular risks, mixed lobar burden</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Treating distribution as a direct diagnosis of arteriolosclerosis</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Mixed lobar and deep microbleeds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Mixed SVD or deep perforator disease with lobar lesions</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Severe CAA with coincidental deep lesions, other arteriopathies Discriminators: Full lesion map, cSS, PVS pattern, hemorrhage history, pathology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Forcing one mutually exclusive etiology</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Cortical superficial siderosis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CAA-related superficial bleeding</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Trauma, surgery, vascular malformation, other subarachnoid bleeding Discriminators: Distribution, convexity SAH, history, vascular imaging</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Ignoring non-CAA sources of prior bleeding</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Severe CSO-PVS</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CAA-associated phenotype</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Aging, mixed SVD, atrophy, clearance dysfunction from other causes Discriminators: Basal ganglia comparison, hemorrhagic markers, regional pathology</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Equating visible PVS with measured glymphatic flow</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Severe basal-ganglia PVS</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Deep perforator SVD</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Aging, mixed disease Discriminators: Deep lacunes/microbleeds, vascular risks, region-specific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Assuming PVS severity is etiologically unique</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Confluent periventricular/deep WMH</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Chronic SVD tissue injury</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AD, demyelination, inflammatory disease, migraine, edema, toxic/metabolic causes Discriminators: Age, morphology, diffusion, enhancement, tempo, lesion distribution</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Using WMH as a synonym for arteriolosclerosis</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Multispot WMH pattern</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CAA within a compatible context</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Other multifocal white-matter processes and rating variability Discriminators: Boston markers, reproducible definition,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Assuming incorporation into criteria equals independent validation</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Asymmetric vasogenic edema/sulcal FLAIR hyperintensity</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CAA-ri or ARIA in the correct context</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PRES, infection, neoplasm, autoimmune vasculitis, seizure-related change Discriminators: Treatment exposure, lobar CMB/cSS, enhancement, diffusion, CSF, systemic workup</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Ignoring therapy context and mimics</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Positive amyloid PET</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Fibrillar amyloid</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Parenchymal AD amyloid, vascular CAA, or both Discriminators: Regional pattern, tau/CSF, MRI CAA markers, pathology</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Calling amyloid positivity CAA</w:t>
            </w:r>
          </w:p>
        </w:tc>
      </w:tr>
      <w:tr>
        <w:trPr>
          <w:cantSplit/>
        </w:trPr>
        <w:tc>
          <w:tcPr>
            <w:tcW w:type="dxa" w:w="18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Reduced CVR</w:t>
            </w:r>
          </w:p>
        </w:tc>
        <w:tc>
          <w:tcPr>
            <w:tcW w:type="dxa" w:w="15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Vascular dysfunction</w:t>
            </w:r>
          </w:p>
        </w:tc>
        <w:tc>
          <w:tcPr>
            <w:tcW w:type="dxa" w:w="39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Alternatives: Large-vessel disease, medications, CO2 delivery differences, systemic physiology, general SVD Discriminators: Territory, vascular imaging, protocol QA, pathology context</w:t>
            </w:r>
          </w:p>
        </w:tc>
        <w:tc>
          <w:tcPr>
            <w:tcW w:type="dxa" w:w="2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Assigning a specific vessel-wall pathology</w:t>
            </w:r>
          </w:p>
        </w:tc>
      </w:tr>
      <w:tr>
        <w:trPr>
          <w:cantSplit/>
        </w:trPr>
        <w:tc>
          <w:tcPr>
            <w:tcW w:type="dxa" w:w="18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Elevated ARTS score</w:t>
            </w:r>
          </w:p>
        </w:tc>
        <w:tc>
          <w:tcPr>
            <w:tcW w:type="dxa" w:w="15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Model-predicted arteriolosclerosis risk in similar research cohorts</w:t>
            </w:r>
          </w:p>
        </w:tc>
        <w:tc>
          <w:tcPr>
            <w:tcW w:type="dxa" w:w="39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Alternatives: General aging, WMH/diffusion injury, vascular risk burden Discriminators: External calibration, pathology, baseline model comparison</w:t>
            </w:r>
          </w:p>
        </w:tc>
        <w:tc>
          <w:tcPr>
            <w:tcW w:type="dxa" w:w="2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Calling a score a clinical diagnosis</w:t>
            </w:r>
          </w:p>
        </w:tc>
      </w:tr>
    </w:tbl>
    <w:p>
      <w:bookmarkStart w:id="178" w:name="section_169"/>
      <w:pPr>
        <w:pStyle w:val="Heading1"/>
      </w:pPr>
      <w:r>
        <w:t>Appendix F. Worked Reasoning Cases</w:t>
      </w:r>
      <w:bookmarkEnd w:id="178"/>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These educational cases demonstrate how to use the evidence map without converting it into patient-specific clinical decision support.</w:t>
      </w:r>
    </w:p>
    <w:p>
      <w:pPr>
        <w:keepNext/>
        <w:spacing w:before="160" w:after="80"/>
      </w:pPr>
      <w:r>
        <w:rPr>
          <w:rFonts w:ascii="Calibri" w:hAnsi="Calibri"/>
          <w:b/>
          <w:color w:val="1F4D78"/>
          <w:sz w:val="22"/>
        </w:rPr>
        <w:t>UC001 | Lobar ICH with disseminated cSS</w:t>
      </w:r>
    </w:p>
    <w:p>
      <w:pPr>
        <w:ind w:left="259"/>
      </w:pPr>
      <w:r>
        <w:rPr>
          <w:rFonts w:ascii="Calibri" w:hAnsi="Calibri"/>
          <w:b/>
          <w:color w:val="203748"/>
          <w:sz w:val="19"/>
        </w:rPr>
        <w:t xml:space="preserve">Scenario: </w:t>
      </w:r>
      <w:r>
        <w:rPr>
          <w:rFonts w:ascii="Calibri" w:hAnsi="Calibri"/>
          <w:color w:val="000000"/>
          <w:sz w:val="19"/>
        </w:rPr>
        <w:t>An older adult presents with spontaneous lobar ICH, multiple strictly lobar microbleeds, and disseminated cSS.</w:t>
      </w:r>
    </w:p>
    <w:p>
      <w:pPr>
        <w:ind w:left="259"/>
      </w:pPr>
      <w:r>
        <w:rPr>
          <w:rFonts w:ascii="Calibri" w:hAnsi="Calibri"/>
          <w:b/>
          <w:color w:val="203748"/>
          <w:sz w:val="19"/>
        </w:rPr>
        <w:t xml:space="preserve">Reasoning: </w:t>
      </w:r>
      <w:r>
        <w:rPr>
          <w:rFonts w:ascii="Calibri" w:hAnsi="Calibri"/>
          <w:color w:val="000000"/>
          <w:sz w:val="19"/>
        </w:rPr>
        <w:t>The phenotype strongly increases CAA probability in the intended symptomatic context. Apply current criteria, confirm sequence adequacy, and separately estimate recurrence and treatment risk.</w:t>
      </w:r>
    </w:p>
    <w:p>
      <w:pPr>
        <w:ind w:left="259"/>
      </w:pPr>
      <w:r>
        <w:rPr>
          <w:rFonts w:ascii="Calibri" w:hAnsi="Calibri"/>
          <w:b/>
          <w:color w:val="8B2D2D"/>
          <w:sz w:val="19"/>
        </w:rPr>
        <w:t xml:space="preserve">Do not conclude: </w:t>
      </w:r>
      <w:r>
        <w:rPr>
          <w:rFonts w:ascii="Calibri" w:hAnsi="Calibri"/>
          <w:color w:val="000000"/>
          <w:sz w:val="19"/>
        </w:rPr>
        <w:t>Do not infer that every cognitive symptom is caused by CAA or that competing pathology is absent.</w:t>
      </w:r>
    </w:p>
    <w:p>
      <w:pPr>
        <w:ind w:left="259"/>
      </w:pPr>
      <w:r>
        <w:rPr>
          <w:rFonts w:ascii="Calibri" w:hAnsi="Calibri"/>
          <w:b/>
          <w:color w:val="203748"/>
          <w:sz w:val="19"/>
        </w:rPr>
        <w:t xml:space="preserve">Records to open: </w:t>
      </w:r>
      <w:r>
        <w:rPr>
          <w:rFonts w:ascii="Calibri" w:hAnsi="Calibri"/>
          <w:color w:val="000000"/>
          <w:sz w:val="19"/>
        </w:rPr>
        <w:t>DP001;H004;O001;O004;Q005;Q009</w:t>
      </w:r>
    </w:p>
    <w:p>
      <w:pPr>
        <w:keepNext/>
        <w:spacing w:before="160" w:after="80"/>
      </w:pPr>
      <w:r>
        <w:rPr>
          <w:rFonts w:ascii="Calibri" w:hAnsi="Calibri"/>
          <w:b/>
          <w:color w:val="1F4D78"/>
          <w:sz w:val="22"/>
        </w:rPr>
        <w:t>UC002 | Cognitive presentation without hemorrhage</w:t>
      </w:r>
    </w:p>
    <w:p>
      <w:pPr>
        <w:ind w:left="259"/>
      </w:pPr>
      <w:r>
        <w:rPr>
          <w:rFonts w:ascii="Calibri" w:hAnsi="Calibri"/>
          <w:b/>
          <w:color w:val="203748"/>
          <w:sz w:val="19"/>
        </w:rPr>
        <w:t xml:space="preserve">Scenario: </w:t>
      </w:r>
      <w:r>
        <w:rPr>
          <w:rFonts w:ascii="Calibri" w:hAnsi="Calibri"/>
          <w:color w:val="000000"/>
          <w:sz w:val="19"/>
        </w:rPr>
        <w:t>A memory-clinic patient has WMH, CSO-PVS, and no hemorrhagic marker.</w:t>
      </w:r>
    </w:p>
    <w:p>
      <w:pPr>
        <w:ind w:left="259"/>
      </w:pPr>
      <w:r>
        <w:rPr>
          <w:rFonts w:ascii="Calibri" w:hAnsi="Calibri"/>
          <w:b/>
          <w:color w:val="203748"/>
          <w:sz w:val="19"/>
        </w:rPr>
        <w:t xml:space="preserve">Reasoning: </w:t>
      </w:r>
      <w:r>
        <w:rPr>
          <w:rFonts w:ascii="Calibri" w:hAnsi="Calibri"/>
          <w:color w:val="000000"/>
          <w:sz w:val="19"/>
        </w:rPr>
        <w:t>Boston v2.0 transportability is weaker in this spectrum. Consider AD and mixed pathology, verify MRI quality, and treat any CAA inference as uncertain.</w:t>
      </w:r>
    </w:p>
    <w:p>
      <w:pPr>
        <w:ind w:left="259"/>
      </w:pPr>
      <w:r>
        <w:rPr>
          <w:rFonts w:ascii="Calibri" w:hAnsi="Calibri"/>
          <w:b/>
          <w:color w:val="8B2D2D"/>
          <w:sz w:val="19"/>
        </w:rPr>
        <w:t xml:space="preserve">Do not conclude: </w:t>
      </w:r>
      <w:r>
        <w:rPr>
          <w:rFonts w:ascii="Calibri" w:hAnsi="Calibri"/>
          <w:color w:val="000000"/>
          <w:sz w:val="19"/>
        </w:rPr>
        <w:t>Do not use criteria performance from lobar ICH cohorts as if it were screening performance.</w:t>
      </w:r>
    </w:p>
    <w:p>
      <w:pPr>
        <w:ind w:left="259"/>
      </w:pPr>
      <w:r>
        <w:rPr>
          <w:rFonts w:ascii="Calibri" w:hAnsi="Calibri"/>
          <w:b/>
          <w:color w:val="203748"/>
          <w:sz w:val="19"/>
        </w:rPr>
        <w:t xml:space="preserve">Records to open: </w:t>
      </w:r>
      <w:r>
        <w:rPr>
          <w:rFonts w:ascii="Calibri" w:hAnsi="Calibri"/>
          <w:color w:val="000000"/>
          <w:sz w:val="19"/>
        </w:rPr>
        <w:t>DP001;Q006;Q007;Q010;Q011</w:t>
      </w:r>
    </w:p>
    <w:p>
      <w:pPr>
        <w:keepNext/>
        <w:spacing w:before="160" w:after="80"/>
      </w:pPr>
      <w:r>
        <w:rPr>
          <w:rFonts w:ascii="Calibri" w:hAnsi="Calibri"/>
          <w:b/>
          <w:color w:val="1F4D78"/>
          <w:sz w:val="22"/>
        </w:rPr>
        <w:t>UC003 | Mixed lobar and deep microbleeds</w:t>
      </w:r>
    </w:p>
    <w:p>
      <w:pPr>
        <w:ind w:left="259"/>
      </w:pPr>
      <w:r>
        <w:rPr>
          <w:rFonts w:ascii="Calibri" w:hAnsi="Calibri"/>
          <w:b/>
          <w:color w:val="203748"/>
          <w:sz w:val="19"/>
        </w:rPr>
        <w:t xml:space="preserve">Scenario: </w:t>
      </w:r>
      <w:r>
        <w:rPr>
          <w:rFonts w:ascii="Calibri" w:hAnsi="Calibri"/>
          <w:color w:val="000000"/>
          <w:sz w:val="19"/>
        </w:rPr>
        <w:t>MRI shows both lobar and deep microbleeds with extensive WMH.</w:t>
      </w:r>
    </w:p>
    <w:p>
      <w:pPr>
        <w:ind w:left="259"/>
      </w:pPr>
      <w:r>
        <w:rPr>
          <w:rFonts w:ascii="Calibri" w:hAnsi="Calibri"/>
          <w:b/>
          <w:color w:val="203748"/>
          <w:sz w:val="19"/>
        </w:rPr>
        <w:t xml:space="preserve">Reasoning: </w:t>
      </w:r>
      <w:r>
        <w:rPr>
          <w:rFonts w:ascii="Calibri" w:hAnsi="Calibri"/>
          <w:color w:val="000000"/>
          <w:sz w:val="19"/>
        </w:rPr>
        <w:t>Model mixed or competing pathologies. Fine-grained lesion location and cSS may help, but neither distribution alone supplies a pathology diagnosis.</w:t>
      </w:r>
    </w:p>
    <w:p>
      <w:pPr>
        <w:ind w:left="259"/>
      </w:pPr>
      <w:r>
        <w:rPr>
          <w:rFonts w:ascii="Calibri" w:hAnsi="Calibri"/>
          <w:b/>
          <w:color w:val="8B2D2D"/>
          <w:sz w:val="19"/>
        </w:rPr>
        <w:t xml:space="preserve">Do not conclude: </w:t>
      </w:r>
      <w:r>
        <w:rPr>
          <w:rFonts w:ascii="Calibri" w:hAnsi="Calibri"/>
          <w:color w:val="000000"/>
          <w:sz w:val="19"/>
        </w:rPr>
        <w:t>Do not force a binary CAA-versus-hypertensive label.</w:t>
      </w:r>
    </w:p>
    <w:p>
      <w:pPr>
        <w:ind w:left="259"/>
      </w:pPr>
      <w:r>
        <w:rPr>
          <w:rFonts w:ascii="Calibri" w:hAnsi="Calibri"/>
          <w:b/>
          <w:color w:val="203748"/>
          <w:sz w:val="19"/>
        </w:rPr>
        <w:t xml:space="preserve">Records to open: </w:t>
      </w:r>
      <w:r>
        <w:rPr>
          <w:rFonts w:ascii="Calibri" w:hAnsi="Calibri"/>
          <w:color w:val="000000"/>
          <w:sz w:val="19"/>
        </w:rPr>
        <w:t>O003;H004;H006;Q014;Q031</w:t>
      </w:r>
    </w:p>
    <w:p>
      <w:pPr>
        <w:keepNext/>
        <w:spacing w:before="160" w:after="80"/>
      </w:pPr>
      <w:r>
        <w:rPr>
          <w:rFonts w:ascii="Calibri" w:hAnsi="Calibri"/>
          <w:b/>
          <w:color w:val="1F4D78"/>
          <w:sz w:val="22"/>
        </w:rPr>
        <w:t>UC004 | High ARTS score</w:t>
      </w:r>
    </w:p>
    <w:p>
      <w:pPr>
        <w:ind w:left="259"/>
      </w:pPr>
      <w:r>
        <w:rPr>
          <w:rFonts w:ascii="Calibri" w:hAnsi="Calibri"/>
          <w:b/>
          <w:color w:val="203748"/>
          <w:sz w:val="19"/>
        </w:rPr>
        <w:t xml:space="preserve">Scenario: </w:t>
      </w:r>
      <w:r>
        <w:rPr>
          <w:rFonts w:ascii="Calibri" w:hAnsi="Calibri"/>
          <w:color w:val="000000"/>
          <w:sz w:val="19"/>
        </w:rPr>
        <w:t>A research participant has a high ARTS score and worsening cognition.</w:t>
      </w:r>
    </w:p>
    <w:p>
      <w:pPr>
        <w:ind w:left="259"/>
      </w:pPr>
      <w:r>
        <w:rPr>
          <w:rFonts w:ascii="Calibri" w:hAnsi="Calibri"/>
          <w:b/>
          <w:color w:val="203748"/>
          <w:sz w:val="19"/>
        </w:rPr>
        <w:t xml:space="preserve">Reasoning: </w:t>
      </w:r>
      <w:r>
        <w:rPr>
          <w:rFonts w:ascii="Calibri" w:hAnsi="Calibri"/>
          <w:color w:val="000000"/>
          <w:sz w:val="19"/>
        </w:rPr>
        <w:t>Separate model output, pathology prediction, technical repeatability, outcome association, and clinical utility. Inspect cohort similarity and calibration.</w:t>
      </w:r>
    </w:p>
    <w:p>
      <w:pPr>
        <w:ind w:left="259"/>
      </w:pPr>
      <w:r>
        <w:rPr>
          <w:rFonts w:ascii="Calibri" w:hAnsi="Calibri"/>
          <w:b/>
          <w:color w:val="8B2D2D"/>
          <w:sz w:val="19"/>
        </w:rPr>
        <w:t xml:space="preserve">Do not conclude: </w:t>
      </w:r>
      <w:r>
        <w:rPr>
          <w:rFonts w:ascii="Calibri" w:hAnsi="Calibri"/>
          <w:color w:val="000000"/>
          <w:sz w:val="19"/>
        </w:rPr>
        <w:t>Do not label the participant pathology-positive without validated context and reference evidence.</w:t>
      </w:r>
    </w:p>
    <w:p>
      <w:pPr>
        <w:ind w:left="259"/>
      </w:pPr>
      <w:r>
        <w:rPr>
          <w:rFonts w:ascii="Calibri" w:hAnsi="Calibri"/>
          <w:b/>
          <w:color w:val="203748"/>
          <w:sz w:val="19"/>
        </w:rPr>
        <w:t xml:space="preserve">Records to open: </w:t>
      </w:r>
      <w:r>
        <w:rPr>
          <w:rFonts w:ascii="Calibri" w:hAnsi="Calibri"/>
          <w:color w:val="000000"/>
          <w:sz w:val="19"/>
        </w:rPr>
        <w:t>DP002;H008;Q017;Q018</w:t>
      </w:r>
    </w:p>
    <w:p>
      <w:pPr>
        <w:keepNext/>
        <w:spacing w:before="160" w:after="80"/>
      </w:pPr>
      <w:r>
        <w:rPr>
          <w:rFonts w:ascii="Calibri" w:hAnsi="Calibri"/>
          <w:b/>
          <w:color w:val="1F4D78"/>
          <w:sz w:val="22"/>
        </w:rPr>
        <w:t>UC005 | Subacute encephalopathy with asymmetric FLAIR</w:t>
      </w:r>
    </w:p>
    <w:p>
      <w:pPr>
        <w:ind w:left="259"/>
      </w:pPr>
      <w:r>
        <w:rPr>
          <w:rFonts w:ascii="Calibri" w:hAnsi="Calibri"/>
          <w:b/>
          <w:color w:val="203748"/>
          <w:sz w:val="19"/>
        </w:rPr>
        <w:t xml:space="preserve">Scenario: </w:t>
      </w:r>
      <w:r>
        <w:rPr>
          <w:rFonts w:ascii="Calibri" w:hAnsi="Calibri"/>
          <w:color w:val="000000"/>
          <w:sz w:val="19"/>
        </w:rPr>
        <w:t>An older adult develops seizures and cognitive change with asymmetric parieto-occipital FLAIR hyperintensity and lobar microbleeds.</w:t>
      </w:r>
    </w:p>
    <w:p>
      <w:pPr>
        <w:ind w:left="259"/>
      </w:pPr>
      <w:r>
        <w:rPr>
          <w:rFonts w:ascii="Calibri" w:hAnsi="Calibri"/>
          <w:b/>
          <w:color w:val="203748"/>
          <w:sz w:val="19"/>
        </w:rPr>
        <w:t xml:space="preserve">Reasoning: </w:t>
      </w:r>
      <w:r>
        <w:rPr>
          <w:rFonts w:ascii="Calibri" w:hAnsi="Calibri"/>
          <w:color w:val="000000"/>
          <w:sz w:val="19"/>
        </w:rPr>
        <w:t>CAA-ri is important, but infection, neoplasm, PRES, vasculitis, and seizure-related change require assessment. Treatment exposure determines whether ARIA enters the differential.</w:t>
      </w:r>
    </w:p>
    <w:p>
      <w:pPr>
        <w:ind w:left="259"/>
      </w:pPr>
      <w:r>
        <w:rPr>
          <w:rFonts w:ascii="Calibri" w:hAnsi="Calibri"/>
          <w:b/>
          <w:color w:val="8B2D2D"/>
          <w:sz w:val="19"/>
        </w:rPr>
        <w:t xml:space="preserve">Do not conclude: </w:t>
      </w:r>
      <w:r>
        <w:rPr>
          <w:rFonts w:ascii="Calibri" w:hAnsi="Calibri"/>
          <w:color w:val="000000"/>
          <w:sz w:val="19"/>
        </w:rPr>
        <w:t>Do not equate an ARIA-E-like appearance with one etiology.</w:t>
      </w:r>
    </w:p>
    <w:p>
      <w:pPr>
        <w:ind w:left="259"/>
      </w:pPr>
      <w:r>
        <w:rPr>
          <w:rFonts w:ascii="Calibri" w:hAnsi="Calibri"/>
          <w:b/>
          <w:color w:val="203748"/>
          <w:sz w:val="19"/>
        </w:rPr>
        <w:t xml:space="preserve">Records to open: </w:t>
      </w:r>
      <w:r>
        <w:rPr>
          <w:rFonts w:ascii="Calibri" w:hAnsi="Calibri"/>
          <w:color w:val="000000"/>
          <w:sz w:val="19"/>
        </w:rPr>
        <w:t>DP005;DP007;O009;Q036;Q037</w:t>
      </w:r>
    </w:p>
    <w:p>
      <w:pPr>
        <w:keepNext/>
        <w:spacing w:before="160" w:after="80"/>
      </w:pPr>
      <w:r>
        <w:rPr>
          <w:rFonts w:ascii="Calibri" w:hAnsi="Calibri"/>
          <w:b/>
          <w:color w:val="1F4D78"/>
          <w:sz w:val="22"/>
        </w:rPr>
        <w:t>UC006 | Positive amyloid PET in suspected CAA</w:t>
      </w:r>
    </w:p>
    <w:p>
      <w:pPr>
        <w:ind w:left="259"/>
      </w:pPr>
      <w:r>
        <w:rPr>
          <w:rFonts w:ascii="Calibri" w:hAnsi="Calibri"/>
          <w:b/>
          <w:color w:val="203748"/>
          <w:sz w:val="19"/>
        </w:rPr>
        <w:t xml:space="preserve">Scenario: </w:t>
      </w:r>
      <w:r>
        <w:rPr>
          <w:rFonts w:ascii="Calibri" w:hAnsi="Calibri"/>
          <w:color w:val="000000"/>
          <w:sz w:val="19"/>
        </w:rPr>
        <w:t>An older patient with cognitive impairment has positive amyloid PET and a small lobar microbleed burden.</w:t>
      </w:r>
    </w:p>
    <w:p>
      <w:pPr>
        <w:ind w:left="259"/>
      </w:pPr>
      <w:r>
        <w:rPr>
          <w:rFonts w:ascii="Calibri" w:hAnsi="Calibri"/>
          <w:b/>
          <w:color w:val="203748"/>
          <w:sz w:val="19"/>
        </w:rPr>
        <w:t xml:space="preserve">Reasoning: </w:t>
      </w:r>
      <w:r>
        <w:rPr>
          <w:rFonts w:ascii="Calibri" w:hAnsi="Calibri"/>
          <w:color w:val="000000"/>
          <w:sz w:val="19"/>
        </w:rPr>
        <w:t>PET confirms fibrillar amyloid but not its vascular compartment. Integrate regional PET, tau/CSF, MRI pattern, and mixed-pathology probability.</w:t>
      </w:r>
    </w:p>
    <w:p>
      <w:pPr>
        <w:ind w:left="259"/>
      </w:pPr>
      <w:r>
        <w:rPr>
          <w:rFonts w:ascii="Calibri" w:hAnsi="Calibri"/>
          <w:b/>
          <w:color w:val="8B2D2D"/>
          <w:sz w:val="19"/>
        </w:rPr>
        <w:t xml:space="preserve">Do not conclude: </w:t>
      </w:r>
      <w:r>
        <w:rPr>
          <w:rFonts w:ascii="Calibri" w:hAnsi="Calibri"/>
          <w:color w:val="000000"/>
          <w:sz w:val="19"/>
        </w:rPr>
        <w:t>Do not call a positive scan diagnostic of CAA.</w:t>
      </w:r>
    </w:p>
    <w:p>
      <w:pPr>
        <w:ind w:left="259"/>
      </w:pPr>
      <w:r>
        <w:rPr>
          <w:rFonts w:ascii="Calibri" w:hAnsi="Calibri"/>
          <w:b/>
          <w:color w:val="203748"/>
          <w:sz w:val="19"/>
        </w:rPr>
        <w:t xml:space="preserve">Records to open: </w:t>
      </w:r>
      <w:r>
        <w:rPr>
          <w:rFonts w:ascii="Calibri" w:hAnsi="Calibri"/>
          <w:color w:val="000000"/>
          <w:sz w:val="19"/>
        </w:rPr>
        <w:t>DP004;H010;O010;Q026</w:t>
      </w:r>
    </w:p>
    <w:p>
      <w:pPr>
        <w:keepNext/>
        <w:spacing w:before="160" w:after="80"/>
      </w:pPr>
      <w:r>
        <w:rPr>
          <w:rFonts w:ascii="Calibri" w:hAnsi="Calibri"/>
          <w:b/>
          <w:color w:val="1F4D78"/>
          <w:sz w:val="22"/>
        </w:rPr>
        <w:t>UC007 | Reduced CVR with WMH progression</w:t>
      </w:r>
    </w:p>
    <w:p>
      <w:pPr>
        <w:ind w:left="259"/>
      </w:pPr>
      <w:r>
        <w:rPr>
          <w:rFonts w:ascii="Calibri" w:hAnsi="Calibri"/>
          <w:b/>
          <w:color w:val="203748"/>
          <w:sz w:val="19"/>
        </w:rPr>
        <w:t xml:space="preserve">Scenario: </w:t>
      </w:r>
      <w:r>
        <w:rPr>
          <w:rFonts w:ascii="Calibri" w:hAnsi="Calibri"/>
          <w:color w:val="000000"/>
          <w:sz w:val="19"/>
        </w:rPr>
        <w:t>A research participant has low CVR and increasing WMH over one year.</w:t>
      </w:r>
    </w:p>
    <w:p>
      <w:pPr>
        <w:ind w:left="259"/>
      </w:pPr>
      <w:r>
        <w:rPr>
          <w:rFonts w:ascii="Calibri" w:hAnsi="Calibri"/>
          <w:b/>
          <w:color w:val="203748"/>
          <w:sz w:val="19"/>
        </w:rPr>
        <w:t xml:space="preserve">Reasoning: </w:t>
      </w:r>
      <w:r>
        <w:rPr>
          <w:rFonts w:ascii="Calibri" w:hAnsi="Calibri"/>
          <w:color w:val="000000"/>
          <w:sz w:val="19"/>
        </w:rPr>
        <w:t>This supports vascular dysfunction as a risk marker for tissue progression, while etiology and causal reversibility remain unresolved.</w:t>
      </w:r>
    </w:p>
    <w:p>
      <w:pPr>
        <w:ind w:left="259"/>
      </w:pPr>
      <w:r>
        <w:rPr>
          <w:rFonts w:ascii="Calibri" w:hAnsi="Calibri"/>
          <w:b/>
          <w:color w:val="8B2D2D"/>
          <w:sz w:val="19"/>
        </w:rPr>
        <w:t xml:space="preserve">Do not conclude: </w:t>
      </w:r>
      <w:r>
        <w:rPr>
          <w:rFonts w:ascii="Calibri" w:hAnsi="Calibri"/>
          <w:color w:val="000000"/>
          <w:sz w:val="19"/>
        </w:rPr>
        <w:t>Do not infer CAA or arteriolosclerosis specificity from CVR alone.</w:t>
      </w:r>
    </w:p>
    <w:p>
      <w:pPr>
        <w:ind w:left="259"/>
      </w:pPr>
      <w:r>
        <w:rPr>
          <w:rFonts w:ascii="Calibri" w:hAnsi="Calibri"/>
          <w:b/>
          <w:color w:val="203748"/>
          <w:sz w:val="19"/>
        </w:rPr>
        <w:t xml:space="preserve">Records to open: </w:t>
      </w:r>
      <w:r>
        <w:rPr>
          <w:rFonts w:ascii="Calibri" w:hAnsi="Calibri"/>
          <w:color w:val="000000"/>
          <w:sz w:val="19"/>
        </w:rPr>
        <w:t>DP003;H002;O011;Q021</w:t>
      </w:r>
    </w:p>
    <w:p>
      <w:pPr>
        <w:keepNext/>
        <w:spacing w:before="160" w:after="80"/>
      </w:pPr>
      <w:r>
        <w:rPr>
          <w:rFonts w:ascii="Calibri" w:hAnsi="Calibri"/>
          <w:b/>
          <w:color w:val="1F4D78"/>
          <w:sz w:val="22"/>
        </w:rPr>
        <w:t>UC008 | Radiology-report candidate phenotype</w:t>
      </w:r>
    </w:p>
    <w:p>
      <w:pPr>
        <w:ind w:left="259"/>
      </w:pPr>
      <w:r>
        <w:rPr>
          <w:rFonts w:ascii="Calibri" w:hAnsi="Calibri"/>
          <w:b/>
          <w:color w:val="203748"/>
          <w:sz w:val="19"/>
        </w:rPr>
        <w:t xml:space="preserve">Scenario: </w:t>
      </w:r>
      <w:r>
        <w:rPr>
          <w:rFonts w:ascii="Calibri" w:hAnsi="Calibri"/>
          <w:color w:val="000000"/>
          <w:sz w:val="19"/>
        </w:rPr>
        <w:t>A report mentions WMH, chronic infarcts, and deep microbleeds without direct image review.</w:t>
      </w:r>
    </w:p>
    <w:p>
      <w:pPr>
        <w:ind w:left="259"/>
      </w:pPr>
      <w:r>
        <w:rPr>
          <w:rFonts w:ascii="Calibri" w:hAnsi="Calibri"/>
          <w:b/>
          <w:color w:val="203748"/>
          <w:sz w:val="19"/>
        </w:rPr>
        <w:t xml:space="preserve">Reasoning: </w:t>
      </w:r>
      <w:r>
        <w:rPr>
          <w:rFonts w:ascii="Calibri" w:hAnsi="Calibri"/>
          <w:color w:val="000000"/>
          <w:sz w:val="19"/>
        </w:rPr>
        <w:t>Use the report for candidate generation and triage. Confirm sequence availability, negation, image-level location, and pathology reference before model development.</w:t>
      </w:r>
    </w:p>
    <w:p>
      <w:pPr>
        <w:ind w:left="259"/>
      </w:pPr>
      <w:r>
        <w:rPr>
          <w:rFonts w:ascii="Calibri" w:hAnsi="Calibri"/>
          <w:b/>
          <w:color w:val="8B2D2D"/>
          <w:sz w:val="19"/>
        </w:rPr>
        <w:t xml:space="preserve">Do not conclude: </w:t>
      </w:r>
      <w:r>
        <w:rPr>
          <w:rFonts w:ascii="Calibri" w:hAnsi="Calibri"/>
          <w:color w:val="000000"/>
          <w:sz w:val="19"/>
        </w:rPr>
        <w:t>Do not turn report text into validated diagnostic criteria.</w:t>
      </w:r>
    </w:p>
    <w:p>
      <w:pPr>
        <w:ind w:left="259"/>
      </w:pPr>
      <w:r>
        <w:rPr>
          <w:rFonts w:ascii="Calibri" w:hAnsi="Calibri"/>
          <w:b/>
          <w:color w:val="203748"/>
          <w:sz w:val="19"/>
        </w:rPr>
        <w:t xml:space="preserve">Records to open: </w:t>
      </w:r>
      <w:r>
        <w:rPr>
          <w:rFonts w:ascii="Calibri" w:hAnsi="Calibri"/>
          <w:color w:val="000000"/>
          <w:sz w:val="19"/>
        </w:rPr>
        <w:t>Q003;Q013;Q014;Q016</w:t>
      </w:r>
    </w:p>
    <w:p>
      <w:bookmarkStart w:id="179" w:name="section_170"/>
      <w:pPr>
        <w:pStyle w:val="Heading1"/>
      </w:pPr>
      <w:r>
        <w:t>Appendix G. Living Update Queue</w:t>
      </w:r>
      <w:bookmarkEnd w:id="179"/>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 queue converts evidence gaps into reviewable work. P0 items protect central conclusions; P1 items strengthen important domains; P2 items improve publication and website readiness.</w:t>
      </w:r>
    </w:p>
    <w:tbl>
      <w:tblPr>
        <w:tblStyle w:val="TableGrid"/>
        <w:tblW w:type="dxa" w:w="9360"/>
        <w:jc w:val="left"/>
        <w:tblLayout w:type="fixed"/>
        <w:tblLook w:firstColumn="1" w:firstRow="1" w:lastColumn="0" w:lastRow="0" w:noHBand="0" w:noVBand="1" w:val="04A0"/>
        <w:tblInd w:w="120" w:type="dxa"/>
      </w:tblPr>
      <w:tblGrid>
        <w:gridCol w:w="900"/>
        <w:gridCol w:w="1100"/>
        <w:gridCol w:w="4200"/>
        <w:gridCol w:w="3160"/>
      </w:tblGrid>
      <w:tr>
        <w:trPr>
          <w:tblHeader w:val="true"/>
          <w:cantSplit/>
        </w:trPr>
        <w:tc>
          <w:tcPr>
            <w:tcW w:type="dxa" w:w="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Priority</w:t>
            </w:r>
          </w:p>
        </w:tc>
        <w:tc>
          <w:tcPr>
            <w:tcW w:type="dxa" w:w="11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Object</w:t>
            </w:r>
          </w:p>
        </w:tc>
        <w:tc>
          <w:tcPr>
            <w:tcW w:type="dxa" w:w="4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Task</w:t>
            </w:r>
          </w:p>
        </w:tc>
        <w:tc>
          <w:tcPr>
            <w:tcW w:type="dxa" w:w="3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8"/>
              </w:rPr>
              <w:t>Done when</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R052</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Obtain and duplicate-extract full text for nonhemorrhagic Boston v2.0 validation</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Two extractions reconciled; QUADAS appraisal completed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Q013</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Build comprehensive MRI-to-pathology arteriolosclerosis search</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Database searches, screening, and evidence table completed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Q001</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Inventory neuropathology definitions, regions, stains, and aggregation rules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Construct crosswalk and consensus candidates created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P0</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DP002</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Locate independent ARTS pathology validation or confirm absence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Search documented and profile updated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COH002</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Map participant overlap across ROSMAP-derived publications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Publication-to-subset lineage documented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Q008</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Extract lesion-level cortical versus juxtacortical pathology evidence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 located lesion-matched studies appraised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Q025</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Build CAA-versus-AD fluid biomarker evidence table</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Assay, comparator, reference, and accuracy fields extracted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Q037</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Add current therapy-specific ARIA risk and monitoring evidence</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Current workgroup plus drug-specific authoritative sources mapped</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P1</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Q031</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Extract mixed CAA-arteriolosclerosis imaging-pathology interactions</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At least two independent cohorts or explicit evidence gap recorded</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Add second-reviewer fields and adjudication log</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Duplicate workflow piloted on all P0 studies</w:t>
            </w:r>
          </w:p>
        </w:tc>
      </w:tr>
      <w:tr>
        <w:trPr>
          <w:cantSplit/>
        </w:trPr>
        <w:tc>
          <w:tcPr>
            <w:tcW w:type="dxa" w:w="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Add saved PubMed query export and deduplication workflow</w:t>
            </w:r>
          </w:p>
        </w:tc>
        <w:tc>
          <w:tcPr>
            <w:tcW w:type="dxa" w:w="3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8"/>
              </w:rPr>
              <w:t>New citations can be imported without overwriting reviewed records</w:t>
            </w:r>
          </w:p>
        </w:tc>
      </w:tr>
      <w:tr>
        <w:trPr>
          <w:cantSplit/>
        </w:trPr>
        <w:tc>
          <w:tcPr>
            <w:tcW w:type="dxa" w:w="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P2</w:t>
            </w:r>
          </w:p>
        </w:tc>
        <w:tc>
          <w:tcPr>
            <w:tcW w:type="dxa" w:w="11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all</w:t>
            </w:r>
          </w:p>
        </w:tc>
        <w:tc>
          <w:tcPr>
            <w:tcW w:type="dxa" w:w="4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Prototype question, claim, cohort, and diagnostic-profile views from JSON</w:t>
            </w:r>
          </w:p>
        </w:tc>
        <w:tc>
          <w:tcPr>
            <w:tcW w:type="dxa" w:w="3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8"/>
              </w:rPr>
              <w:t>No-PHI static prototype renders from generated exports</w:t>
            </w:r>
          </w:p>
        </w:tc>
      </w:tr>
    </w:tbl>
    <w:p>
      <w:bookmarkStart w:id="180" w:name="section_171"/>
      <w:pPr>
        <w:pStyle w:val="Heading1"/>
      </w:pPr>
      <w:r>
        <w:t>Appendix H. Living Claim-Evidence Ledger</w:t>
      </w:r>
      <w:bookmarkEnd w:id="180"/>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Each card states the narrow interpretation supported, what is not established, and the evidence that changes confidence. Ratings are provisional single-reviewer judgments.</w:t>
      </w:r>
    </w:p>
    <w:p>
      <w:pPr>
        <w:keepNext/>
        <w:spacing w:before="160" w:after="80"/>
      </w:pPr>
      <w:r>
        <w:rPr>
          <w:rFonts w:ascii="Calibri" w:hAnsi="Calibri"/>
          <w:b/>
          <w:color w:val="1F4D78"/>
          <w:sz w:val="22"/>
        </w:rPr>
        <w:t>C001 | Impaired perivascular clearance contributes to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Clearance failure is a biologically coherent contributor and may participate in feedback with vascular amyloid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impaired outward flow is the initiating cause in sporadic human CAA or that MRI-visible PVS directly measure clearance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Human direction and flux are not directly measured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compartment-specific human transport measurement with regional temporal predictions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6">
        <w:r>
          <w:rPr>
            <w:rFonts w:ascii="Calibri" w:hAnsi="Calibri"/>
            <w:color w:val="2E74B5"/>
            <w:u w:val="single"/>
          </w:rPr>
          <w:t>S004/R012</w:t>
        </w:r>
      </w:hyperlink>
      <w:r>
        <w:rPr>
          <w:rFonts w:ascii="Calibri" w:hAnsi="Calibri"/>
          <w:color w:val="000000"/>
          <w:sz w:val="19"/>
        </w:rPr>
        <w:t xml:space="preserve"> - EPVS burden tracked overlying cortical CAA and vessel smooth-muscle loss Limitation: Cross-sectional and small; does not measure flow</w:t>
      </w:r>
    </w:p>
    <w:p>
      <w:pPr>
        <w:numPr>
          <w:ilvl w:val="0"/>
          <w:numId w:val="10"/>
        </w:numPr>
        <w:spacing w:before="0" w:after="60" w:line="276" w:lineRule="auto"/>
      </w:pPr>
      <w:r>
        <w:rPr>
          <w:rFonts w:ascii="Calibri" w:hAnsi="Calibri"/>
          <w:b/>
          <w:color w:val="1F4D78"/>
          <w:sz w:val="19"/>
        </w:rPr>
        <w:t xml:space="preserve">QUALIFIES | </w:t>
      </w:r>
      <w:hyperlink r:id="rId19">
        <w:r>
          <w:rPr>
            <w:rFonts w:ascii="Calibri" w:hAnsi="Calibri"/>
            <w:color w:val="2E74B5"/>
            <w:u w:val="single"/>
          </w:rPr>
          <w:t>R011</w:t>
        </w:r>
      </w:hyperlink>
      <w:r>
        <w:rPr>
          <w:rFonts w:ascii="Calibri" w:hAnsi="Calibri"/>
          <w:color w:val="000000"/>
          <w:sz w:val="19"/>
        </w:rPr>
        <w:t xml:space="preserve"> - Multiple clearance routes and driving forces remain plausible Limitation: Review-level synthesis; heterogeneous models</w:t>
      </w:r>
    </w:p>
    <w:p>
      <w:pPr>
        <w:numPr>
          <w:ilvl w:val="0"/>
          <w:numId w:val="10"/>
        </w:numPr>
        <w:spacing w:before="0" w:after="60" w:line="276" w:lineRule="auto"/>
      </w:pPr>
      <w:r>
        <w:rPr>
          <w:rFonts w:ascii="Calibri" w:hAnsi="Calibri"/>
          <w:b/>
          <w:color w:val="1F4D78"/>
          <w:sz w:val="19"/>
        </w:rPr>
        <w:t xml:space="preserve">CONTEXT | </w:t>
      </w:r>
      <w:hyperlink r:id="rId17">
        <w:r>
          <w:rPr>
            <w:rFonts w:ascii="Calibri" w:hAnsi="Calibri"/>
            <w:color w:val="2E74B5"/>
            <w:u w:val="single"/>
          </w:rPr>
          <w:t>R010</w:t>
        </w:r>
      </w:hyperlink>
      <w:r>
        <w:rPr>
          <w:rFonts w:ascii="Calibri" w:hAnsi="Calibri"/>
          <w:color w:val="000000"/>
          <w:sz w:val="19"/>
        </w:rPr>
        <w:t xml:space="preserve"> - Clearance dysfunction is placed in an early-to-progressive disease framework Limitation: Framework is not a direct test</w:t>
      </w:r>
    </w:p>
    <w:p>
      <w:pPr>
        <w:keepNext/>
        <w:spacing w:before="160" w:after="80"/>
      </w:pPr>
      <w:r>
        <w:rPr>
          <w:rFonts w:ascii="Calibri" w:hAnsi="Calibri"/>
          <w:b/>
          <w:color w:val="1F4D78"/>
          <w:sz w:val="22"/>
        </w:rPr>
        <w:t>C002 | Vascular physiological dysfunction precedes hemorrhage in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Physiologic abnormalities plausibly occur before overt hemorrhagic lesions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universal temporal sequence or sufficient accuracy for preclinical diagnosis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Sparse longitudinal sporadic CAA data</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Repeated CVR, perfusion, permeability, and lesion imaging in initially hemorrhage-free participants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7">
        <w:r>
          <w:rPr>
            <w:rFonts w:ascii="Calibri" w:hAnsi="Calibri"/>
            <w:color w:val="2E74B5"/>
            <w:u w:val="single"/>
          </w:rPr>
          <w:t>R010</w:t>
        </w:r>
      </w:hyperlink>
      <w:r>
        <w:rPr>
          <w:rFonts w:ascii="Calibri" w:hAnsi="Calibri"/>
          <w:color w:val="000000"/>
          <w:sz w:val="19"/>
        </w:rPr>
        <w:t xml:space="preserve"> - Physiologic changes are proposed before overt hemorrhagic injury Limitation: Temporal sequence is better supported in hereditary than sporadic CAA</w:t>
      </w:r>
    </w:p>
    <w:p>
      <w:pPr>
        <w:numPr>
          <w:ilvl w:val="0"/>
          <w:numId w:val="10"/>
        </w:numPr>
        <w:spacing w:before="0" w:after="60" w:line="276" w:lineRule="auto"/>
      </w:pPr>
      <w:r>
        <w:rPr>
          <w:rFonts w:ascii="Calibri" w:hAnsi="Calibri"/>
          <w:b/>
          <w:color w:val="1F4D78"/>
          <w:sz w:val="19"/>
        </w:rPr>
        <w:t xml:space="preserve">CONTEXT | </w:t>
      </w:r>
      <w:hyperlink r:id="rId16">
        <w:r>
          <w:rPr>
            <w:rFonts w:ascii="Calibri" w:hAnsi="Calibri"/>
            <w:color w:val="2E74B5"/>
            <w:u w:val="single"/>
          </w:rPr>
          <w:t>R004</w:t>
        </w:r>
      </w:hyperlink>
      <w:r>
        <w:rPr>
          <w:rFonts w:ascii="Calibri" w:hAnsi="Calibri"/>
          <w:color w:val="000000"/>
          <w:sz w:val="19"/>
        </w:rPr>
        <w:t xml:space="preserve"> - Physiologic dysfunction is integrated with hemorrhagic and cognitive phenotypes Limitation: Narrative review</w:t>
      </w:r>
    </w:p>
    <w:p>
      <w:pPr>
        <w:keepNext/>
        <w:spacing w:before="160" w:after="80"/>
      </w:pPr>
      <w:r>
        <w:rPr>
          <w:rFonts w:ascii="Calibri" w:hAnsi="Calibri"/>
          <w:b/>
          <w:color w:val="1F4D78"/>
          <w:sz w:val="22"/>
        </w:rPr>
        <w:t>C003 | BBB leakage is an early event in CAA vessel remodeling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Leakage is detectable at mildly amyloid-positive vessels and is present in remodeled vessels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leakage initiates inflammation or rupture rather than reflecting concurrent injury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Cross-sectional inference from seven autopsy cases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Serial in vivo permeability followed by spatial whole-vessel pathology</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7">
        <w:r>
          <w:rPr>
            <w:rFonts w:ascii="Calibri" w:hAnsi="Calibri"/>
            <w:color w:val="2E74B5"/>
            <w:u w:val="single"/>
          </w:rPr>
          <w:t>S005/R013</w:t>
        </w:r>
      </w:hyperlink>
      <w:r>
        <w:rPr>
          <w:rFonts w:ascii="Calibri" w:hAnsi="Calibri"/>
          <w:color w:val="000000"/>
          <w:sz w:val="19"/>
        </w:rPr>
        <w:t xml:space="preserve"> - Leakage and SMA loss were detectable at mild vessel amyloid grade Limitation: Cross-sectional vessel grades treated as temporal stages</w:t>
      </w:r>
    </w:p>
    <w:p>
      <w:pPr>
        <w:numPr>
          <w:ilvl w:val="0"/>
          <w:numId w:val="10"/>
        </w:numPr>
        <w:spacing w:before="0" w:after="60" w:line="276" w:lineRule="auto"/>
      </w:pPr>
      <w:r>
        <w:rPr>
          <w:rFonts w:ascii="Calibri" w:hAnsi="Calibri"/>
          <w:b/>
          <w:color w:val="1F4D78"/>
          <w:sz w:val="19"/>
        </w:rPr>
        <w:t xml:space="preserve">QUALIFIES | </w:t>
      </w:r>
      <w:hyperlink r:id="rId47">
        <w:r>
          <w:rPr>
            <w:rFonts w:ascii="Calibri" w:hAnsi="Calibri"/>
            <w:color w:val="2E74B5"/>
            <w:u w:val="single"/>
          </w:rPr>
          <w:t>S005/R013</w:t>
        </w:r>
      </w:hyperlink>
      <w:r>
        <w:rPr>
          <w:rFonts w:ascii="Calibri" w:hAnsi="Calibri"/>
          <w:color w:val="000000"/>
          <w:sz w:val="19"/>
        </w:rPr>
        <w:t xml:space="preserve"> - Inflammation predominated at later vessel grades rather than earliest grade Limitation: Small selected series</w:t>
      </w:r>
    </w:p>
    <w:p>
      <w:pPr>
        <w:numPr>
          <w:ilvl w:val="0"/>
          <w:numId w:val="10"/>
        </w:numPr>
        <w:spacing w:before="0" w:after="60" w:line="276" w:lineRule="auto"/>
      </w:pPr>
      <w:r>
        <w:rPr>
          <w:rFonts w:ascii="Calibri" w:hAnsi="Calibri"/>
          <w:b/>
          <w:color w:val="1F4D78"/>
          <w:sz w:val="19"/>
        </w:rPr>
        <w:t xml:space="preserve">CONTEXT | </w:t>
      </w:r>
      <w:hyperlink r:id="rId48">
        <w:r>
          <w:rPr>
            <w:rFonts w:ascii="Calibri" w:hAnsi="Calibri"/>
            <w:color w:val="2E74B5"/>
            <w:u w:val="single"/>
          </w:rPr>
          <w:t>R014</w:t>
        </w:r>
      </w:hyperlink>
      <w:r>
        <w:rPr>
          <w:rFonts w:ascii="Calibri" w:hAnsi="Calibri"/>
          <w:color w:val="000000"/>
          <w:sz w:val="19"/>
        </w:rPr>
        <w:t xml:space="preserve"> - Leakage and inflammation may have stage-dependent roles Limitation: Mechanisms across syndromes are not identical</w:t>
      </w:r>
    </w:p>
    <w:p>
      <w:pPr>
        <w:keepNext/>
        <w:spacing w:before="160" w:after="80"/>
      </w:pPr>
      <w:r>
        <w:rPr>
          <w:rFonts w:ascii="Calibri" w:hAnsi="Calibri"/>
          <w:b/>
          <w:color w:val="1F4D78"/>
          <w:sz w:val="22"/>
        </w:rPr>
        <w:t>C004 | A strictly lobar hemorrhagic pattern increases the probability of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Distribution is diagnostically informative in symptomatic populations when mimics and deep lesions are considered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every lobar CMB is caused by CAA or that performance transfers unchanged to screening populations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Arteriolosclerosis can produce lobar CMBs and accuracy is spectrum-dependent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lesion-level MRI-pathology coregistration across symptomatic and community cohorts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Boston v2.0 probable CAA showed strong specificity, especially in full-autopsy subset Limitation: Tissue-selected referral spectrum</w:t>
      </w:r>
    </w:p>
    <w:p>
      <w:pPr>
        <w:numPr>
          <w:ilvl w:val="0"/>
          <w:numId w:val="10"/>
        </w:numPr>
        <w:spacing w:before="0" w:after="60" w:line="276" w:lineRule="auto"/>
      </w:pPr>
      <w:r>
        <w:rPr>
          <w:rFonts w:ascii="Calibri" w:hAnsi="Calibri"/>
          <w:b/>
          <w:color w:val="8B2D2D"/>
          <w:sz w:val="19"/>
        </w:rPr>
        <w:t xml:space="preserve">CHALLENGES | </w:t>
      </w:r>
      <w:hyperlink r:id="rId49">
        <w:r>
          <w:rPr>
            <w:rFonts w:ascii="Calibri" w:hAnsi="Calibri"/>
            <w:color w:val="2E74B5"/>
            <w:u w:val="single"/>
          </w:rPr>
          <w:t>S003/R015</w:t>
        </w:r>
      </w:hyperlink>
      <w:r>
        <w:rPr>
          <w:rFonts w:ascii="Calibri" w:hAnsi="Calibri"/>
          <w:color w:val="000000"/>
          <w:sz w:val="19"/>
        </w:rPr>
        <w:t xml:space="preserve"> - Seven confirmed lobar CMBs were linked to arteriolosclerosis without CAA Limitation: Demonstrates possibility, not frequency</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Probable v2.0 sensitivity 38.8% and specificity 83.5%; cortical CMB count separated true from false positives Limitation: Selected older MRI-autopsy subset</w:t>
      </w:r>
    </w:p>
    <w:p>
      <w:pPr>
        <w:numPr>
          <w:ilvl w:val="0"/>
          <w:numId w:val="10"/>
        </w:numPr>
        <w:spacing w:before="0" w:after="60" w:line="276" w:lineRule="auto"/>
      </w:pPr>
      <w:r>
        <w:rPr>
          <w:rFonts w:ascii="Calibri" w:hAnsi="Calibri"/>
          <w:b/>
          <w:color w:val="8B2D2D"/>
          <w:sz w:val="19"/>
        </w:rPr>
        <w:t xml:space="preserve">CHALLENGES | </w:t>
      </w:r>
      <w:hyperlink r:id="rId51">
        <w:r>
          <w:rPr>
            <w:rFonts w:ascii="Calibri" w:hAnsi="Calibri"/>
            <w:color w:val="2E74B5"/>
            <w:u w:val="single"/>
          </w:rPr>
          <w:t>S013/R052</w:t>
        </w:r>
      </w:hyperlink>
      <w:r>
        <w:rPr>
          <w:rFonts w:ascii="Calibri" w:hAnsi="Calibri"/>
          <w:color w:val="000000"/>
          <w:sz w:val="19"/>
        </w:rPr>
        <w:t xml:space="preserve"> - Probable v2.0 AUC 0.47 in nonhemorrhagic presentations Limitation: Small and imprecise but directly tests transport</w:t>
      </w:r>
    </w:p>
    <w:p>
      <w:pPr>
        <w:numPr>
          <w:ilvl w:val="0"/>
          <w:numId w:val="10"/>
        </w:numPr>
        <w:spacing w:before="0" w:after="60" w:line="276" w:lineRule="auto"/>
      </w:pPr>
      <w:r>
        <w:rPr>
          <w:rFonts w:ascii="Calibri" w:hAnsi="Calibri"/>
          <w:b/>
          <w:color w:val="1F4D78"/>
          <w:sz w:val="19"/>
        </w:rPr>
        <w:t xml:space="preserve">METHOD | </w:t>
      </w:r>
      <w:hyperlink r:id="rId52">
        <w:r>
          <w:rPr>
            <w:rFonts w:ascii="Calibri" w:hAnsi="Calibri"/>
            <w:color w:val="2E74B5"/>
            <w:u w:val="single"/>
          </w:rPr>
          <w:t>R046</w:t>
        </w:r>
      </w:hyperlink>
      <w:r>
        <w:rPr>
          <w:rFonts w:ascii="Calibri" w:hAnsi="Calibri"/>
          <w:color w:val="000000"/>
          <w:sz w:val="19"/>
        </w:rPr>
        <w:t xml:space="preserve"> - CMB detection depends on sequence, mimics, size, and rating conventions Limitation: Review rather than etiologic validation</w:t>
      </w:r>
    </w:p>
    <w:p>
      <w:pPr>
        <w:keepNext/>
        <w:spacing w:before="160" w:after="80"/>
      </w:pPr>
      <w:r>
        <w:rPr>
          <w:rFonts w:ascii="Calibri" w:hAnsi="Calibri"/>
          <w:b/>
          <w:color w:val="1F4D78"/>
          <w:sz w:val="22"/>
        </w:rPr>
        <w:t>C005 | Severe centrum-semiovale PVS add information for CAA classification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CSO-PVS can improve sensitivity when combined with hemorrhagic features in Boston v2.0</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PVS are specific for CAA or directly quantify clearance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Incremental value varies by population and rating method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pathology validation with arterial/venous mapping and prespecified thresholds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Severe CSO-PVS contributed to the v2.0 rule combining hemorrhagic and white-matter features Limitation: Incremental value is model- and population-dependent</w:t>
      </w:r>
    </w:p>
    <w:p>
      <w:pPr>
        <w:numPr>
          <w:ilvl w:val="0"/>
          <w:numId w:val="10"/>
        </w:numPr>
        <w:spacing w:before="0" w:after="60" w:line="276" w:lineRule="auto"/>
      </w:pPr>
      <w:r>
        <w:rPr>
          <w:rFonts w:ascii="Calibri" w:hAnsi="Calibri"/>
          <w:b/>
          <w:color w:val="236B4A"/>
          <w:sz w:val="19"/>
        </w:rPr>
        <w:t xml:space="preserve">SUPPORTS | </w:t>
      </w:r>
      <w:hyperlink r:id="rId46">
        <w:r>
          <w:rPr>
            <w:rFonts w:ascii="Calibri" w:hAnsi="Calibri"/>
            <w:color w:val="2E74B5"/>
            <w:u w:val="single"/>
          </w:rPr>
          <w:t>S004/R012</w:t>
        </w:r>
      </w:hyperlink>
      <w:r>
        <w:rPr>
          <w:rFonts w:ascii="Calibri" w:hAnsi="Calibri"/>
          <w:color w:val="000000"/>
          <w:sz w:val="19"/>
        </w:rPr>
        <w:t xml:space="preserve"> - MRI-visible PVS corresponded to histologic enlargement and overlying CAA Limitation: Not a standalone diagnostic-accuracy study</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CSO-PVS increased sensitivity more than the multispot WMH feature Limitation: Overall sensitivity remained limited</w:t>
      </w:r>
    </w:p>
    <w:p>
      <w:pPr>
        <w:keepNext/>
        <w:spacing w:before="160" w:after="80"/>
      </w:pPr>
      <w:r>
        <w:rPr>
          <w:rFonts w:ascii="Calibri" w:hAnsi="Calibri"/>
          <w:b/>
          <w:color w:val="1F4D78"/>
          <w:sz w:val="22"/>
        </w:rPr>
        <w:t>C006 | The multispot WMH pattern adds information for CAA classification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The pattern can contribute to Boston v2.0 classification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it is a strong standalone or pathology-specific CAA marker</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Marginal incremental performance and limited direct validation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blinded MRI-pathology study against arteriolosclerosis and mixed-pathology controls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Multispot WMH was retained as one nonhemorrhagic v2.0 feature Limitation: Feature is used only in combination</w:t>
      </w:r>
    </w:p>
    <w:p>
      <w:pPr>
        <w:numPr>
          <w:ilvl w:val="0"/>
          <w:numId w:val="10"/>
        </w:numPr>
        <w:spacing w:before="0" w:after="60" w:line="276" w:lineRule="auto"/>
      </w:pPr>
      <w:r>
        <w:rPr>
          <w:rFonts w:ascii="Calibri" w:hAnsi="Calibri"/>
          <w:b/>
          <w:color w:val="1F4D78"/>
          <w:sz w:val="19"/>
        </w:rPr>
        <w:t xml:space="preserve">QUALIFIES | </w:t>
      </w:r>
      <w:hyperlink r:id="rId50">
        <w:r>
          <w:rPr>
            <w:rFonts w:ascii="Calibri" w:hAnsi="Calibri"/>
            <w:color w:val="2E74B5"/>
            <w:u w:val="single"/>
          </w:rPr>
          <w:t>S012/R051</w:t>
        </w:r>
      </w:hyperlink>
      <w:r>
        <w:rPr>
          <w:rFonts w:ascii="Calibri" w:hAnsi="Calibri"/>
          <w:color w:val="000000"/>
          <w:sz w:val="19"/>
        </w:rPr>
        <w:t xml:space="preserve"> - WMH multispot added less sensitivity than CSO-PVS Limitation: Rating and cohort spectrum may affect performance</w:t>
      </w:r>
    </w:p>
    <w:p>
      <w:pPr>
        <w:numPr>
          <w:ilvl w:val="0"/>
          <w:numId w:val="10"/>
        </w:numPr>
        <w:spacing w:before="0" w:after="60" w:line="276" w:lineRule="auto"/>
      </w:pPr>
      <w:r>
        <w:rPr>
          <w:rFonts w:ascii="Calibri" w:hAnsi="Calibri"/>
          <w:b/>
          <w:color w:val="1F4D78"/>
          <w:sz w:val="19"/>
        </w:rPr>
        <w:t xml:space="preserve">CONTEXT | </w:t>
      </w:r>
      <w:hyperlink r:id="rId53">
        <w:r>
          <w:rPr>
            <w:rFonts w:ascii="Calibri" w:hAnsi="Calibri"/>
            <w:color w:val="2E74B5"/>
            <w:u w:val="single"/>
          </w:rPr>
          <w:t>R042</w:t>
        </w:r>
      </w:hyperlink>
      <w:r>
        <w:rPr>
          <w:rFonts w:ascii="Calibri" w:hAnsi="Calibri"/>
          <w:color w:val="000000"/>
          <w:sz w:val="19"/>
        </w:rPr>
        <w:t xml:space="preserve"> - Multispot lesions were associated with cerebrovascular amyloid burden Limitation: Very small pilot; PET signal is not pathology-specific</w:t>
      </w:r>
    </w:p>
    <w:p>
      <w:pPr>
        <w:keepNext/>
        <w:spacing w:before="160" w:after="80"/>
      </w:pPr>
      <w:r>
        <w:rPr>
          <w:rFonts w:ascii="Calibri" w:hAnsi="Calibri"/>
          <w:b/>
          <w:color w:val="1F4D78"/>
          <w:sz w:val="22"/>
        </w:rPr>
        <w:t>C007 | Brain arteriolosclerosis is a heterogeneous family of vessel-wall changes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Regional, morphologic, etiologic, and measurement heterogeneity should be represented explicitly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universally accepted molecular subtype system</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Routine semiquantitative grading collapses different lesions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Multiregion molecular-spatial clustering with external replication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3">
        <w:r>
          <w:rPr>
            <w:rFonts w:ascii="Calibri" w:hAnsi="Calibri"/>
            <w:color w:val="2E74B5"/>
            <w:u w:val="single"/>
          </w:rPr>
          <w:t>R003</w:t>
        </w:r>
      </w:hyperlink>
      <w:r>
        <w:rPr>
          <w:rFonts w:ascii="Calibri" w:hAnsi="Calibri"/>
          <w:color w:val="000000"/>
          <w:sz w:val="19"/>
        </w:rPr>
        <w:t xml:space="preserve"> - Arteriolosclerosis definitions, regions, severity scales, and proposed etiologies vary Limitation: Primary heterogeneity studies require fuller extraction</w:t>
      </w:r>
    </w:p>
    <w:p>
      <w:pPr>
        <w:numPr>
          <w:ilvl w:val="0"/>
          <w:numId w:val="10"/>
        </w:numPr>
        <w:spacing w:before="0" w:after="60" w:line="276" w:lineRule="auto"/>
      </w:pPr>
      <w:r>
        <w:rPr>
          <w:rFonts w:ascii="Calibri" w:hAnsi="Calibri"/>
          <w:b/>
          <w:color w:val="236B4A"/>
          <w:sz w:val="19"/>
        </w:rPr>
        <w:t xml:space="preserve">SUPPORTS | </w:t>
      </w:r>
      <w:hyperlink r:id="rId54">
        <w:r>
          <w:rPr>
            <w:rFonts w:ascii="Calibri" w:hAnsi="Calibri"/>
            <w:color w:val="2E74B5"/>
            <w:u w:val="single"/>
          </w:rPr>
          <w:t>S009/R033</w:t>
        </w:r>
      </w:hyperlink>
      <w:r>
        <w:rPr>
          <w:rFonts w:ascii="Calibri" w:hAnsi="Calibri"/>
          <w:color w:val="000000"/>
          <w:sz w:val="19"/>
        </w:rPr>
        <w:t xml:space="preserve"> - Regional and digital morphology revealed multiregional arteriolar changes Limitation: Historical scoring remains coarse</w:t>
      </w:r>
    </w:p>
    <w:p>
      <w:pPr>
        <w:numPr>
          <w:ilvl w:val="0"/>
          <w:numId w:val="10"/>
        </w:numPr>
        <w:spacing w:before="0" w:after="60" w:line="276" w:lineRule="auto"/>
      </w:pPr>
      <w:r>
        <w:rPr>
          <w:rFonts w:ascii="Calibri" w:hAnsi="Calibri"/>
          <w:b/>
          <w:color w:val="1F4D78"/>
          <w:sz w:val="19"/>
        </w:rPr>
        <w:t xml:space="preserve">METHOD | </w:t>
      </w:r>
      <w:hyperlink r:id="rId27">
        <w:r>
          <w:rPr>
            <w:rFonts w:ascii="Calibri" w:hAnsi="Calibri"/>
            <w:color w:val="2E74B5"/>
            <w:u w:val="single"/>
          </w:rPr>
          <w:t>R025</w:t>
        </w:r>
      </w:hyperlink>
      <w:r>
        <w:rPr>
          <w:rFonts w:ascii="Calibri" w:hAnsi="Calibri"/>
          <w:color w:val="000000"/>
          <w:sz w:val="19"/>
        </w:rPr>
        <w:t xml:space="preserve"> - Standardization is necessary but contribution-to-cognition differs from lesion identity Limitation: Consensus cannot establish biological subtypes</w:t>
      </w:r>
    </w:p>
    <w:p>
      <w:pPr>
        <w:keepNext/>
        <w:spacing w:before="160" w:after="80"/>
      </w:pPr>
      <w:r>
        <w:rPr>
          <w:rFonts w:ascii="Calibri" w:hAnsi="Calibri"/>
          <w:b/>
          <w:color w:val="1F4D78"/>
          <w:sz w:val="22"/>
        </w:rPr>
        <w:t>C008 | Brain arteriolosclerosis contributes independently to cognitive impairment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Autopsy cohorts support an association after accounting for major co-pathologies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single pathway, a precise individual-level effect, or reversibility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Residual confounding and measurement error in co-pathologies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pathology-linked biomarkers with domain-specific cognitive slopes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3">
        <w:r>
          <w:rPr>
            <w:rFonts w:ascii="Calibri" w:hAnsi="Calibri"/>
            <w:color w:val="2E74B5"/>
            <w:u w:val="single"/>
          </w:rPr>
          <w:t>R003</w:t>
        </w:r>
      </w:hyperlink>
      <w:r>
        <w:rPr>
          <w:rFonts w:ascii="Calibri" w:hAnsi="Calibri"/>
          <w:color w:val="000000"/>
          <w:sz w:val="19"/>
        </w:rPr>
        <w:t xml:space="preserve"> - Arteriolosclerosis is repeatedly associated with cognitive and motor impairment Limitation: Effect estimates and adjustment differ</w:t>
      </w:r>
    </w:p>
    <w:p>
      <w:pPr>
        <w:numPr>
          <w:ilvl w:val="0"/>
          <w:numId w:val="10"/>
        </w:numPr>
        <w:spacing w:before="0" w:after="60" w:line="276" w:lineRule="auto"/>
      </w:pPr>
      <w:r>
        <w:rPr>
          <w:rFonts w:ascii="Calibri" w:hAnsi="Calibri"/>
          <w:b/>
          <w:color w:val="236B4A"/>
          <w:sz w:val="19"/>
        </w:rPr>
        <w:t xml:space="preserve">SUPPORTS | </w:t>
      </w:r>
      <w:hyperlink r:id="rId27">
        <w:r>
          <w:rPr>
            <w:rFonts w:ascii="Calibri" w:hAnsi="Calibri"/>
            <w:color w:val="2E74B5"/>
            <w:u w:val="single"/>
          </w:rPr>
          <w:t>R025</w:t>
        </w:r>
      </w:hyperlink>
      <w:r>
        <w:rPr>
          <w:rFonts w:ascii="Calibri" w:hAnsi="Calibri"/>
          <w:color w:val="000000"/>
          <w:sz w:val="19"/>
        </w:rPr>
        <w:t xml:space="preserve"> - Vascular pathologies can contribute to cognitive impairment after considering co-pathology Limitation: Framework is not an antemortem diagnostic rule</w:t>
      </w:r>
    </w:p>
    <w:p>
      <w:pPr>
        <w:numPr>
          <w:ilvl w:val="0"/>
          <w:numId w:val="10"/>
        </w:numPr>
        <w:spacing w:before="0" w:after="60" w:line="276" w:lineRule="auto"/>
      </w:pPr>
      <w:r>
        <w:rPr>
          <w:rFonts w:ascii="Calibri" w:hAnsi="Calibri"/>
          <w:b/>
          <w:color w:val="1F4D78"/>
          <w:sz w:val="19"/>
        </w:rPr>
        <w:t xml:space="preserve">CONTEXT | </w:t>
      </w:r>
      <w:hyperlink r:id="rId32">
        <w:r>
          <w:rPr>
            <w:rFonts w:ascii="Calibri" w:hAnsi="Calibri"/>
            <w:color w:val="2E74B5"/>
            <w:u w:val="single"/>
          </w:rPr>
          <w:t>S006/R017</w:t>
        </w:r>
      </w:hyperlink>
      <w:r>
        <w:rPr>
          <w:rFonts w:ascii="Calibri" w:hAnsi="Calibri"/>
          <w:color w:val="000000"/>
          <w:sz w:val="19"/>
        </w:rPr>
        <w:t xml:space="preserve"> - A pathology-linked MRI score associated with later cognitive decline Limitation: Mediation by arteriolosclerosis is not established</w:t>
      </w:r>
    </w:p>
    <w:p>
      <w:pPr>
        <w:keepNext/>
        <w:spacing w:before="160" w:after="80"/>
      </w:pPr>
      <w:r>
        <w:rPr>
          <w:rFonts w:ascii="Calibri" w:hAnsi="Calibri"/>
          <w:b/>
          <w:color w:val="1F4D78"/>
          <w:sz w:val="22"/>
        </w:rPr>
        <w:t>C009 | Brain arteriolosclerosis is associated with hippocampal sclerosis/LATE-related pathology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Repeated autopsy data support a multiregional association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arteriolosclerosis causes LATE-NC or hippocampal sclerosis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Cross-sectional autopsy data cannot determine temporal direction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vascular biomarkers followed by standardized LATE-NC pathology</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54">
        <w:r>
          <w:rPr>
            <w:rFonts w:ascii="Calibri" w:hAnsi="Calibri"/>
            <w:color w:val="2E74B5"/>
            <w:u w:val="single"/>
          </w:rPr>
          <w:t>S009/R033</w:t>
        </w:r>
      </w:hyperlink>
      <w:r>
        <w:rPr>
          <w:rFonts w:ascii="Calibri" w:hAnsi="Calibri"/>
          <w:color w:val="000000"/>
          <w:sz w:val="19"/>
        </w:rPr>
        <w:t xml:space="preserve"> - Multiregional arteriolosclerosis was associated with HS-ageing; digital arterioles showed wall/morphology differences Limitation: Cross-sectional association</w:t>
      </w:r>
    </w:p>
    <w:p>
      <w:pPr>
        <w:numPr>
          <w:ilvl w:val="0"/>
          <w:numId w:val="10"/>
        </w:numPr>
        <w:spacing w:before="0" w:after="60" w:line="276" w:lineRule="auto"/>
      </w:pPr>
      <w:r>
        <w:rPr>
          <w:rFonts w:ascii="Calibri" w:hAnsi="Calibri"/>
          <w:b/>
          <w:color w:val="1F4D78"/>
          <w:sz w:val="19"/>
        </w:rPr>
        <w:t xml:space="preserve">QUALIFIES | </w:t>
      </w:r>
      <w:hyperlink r:id="rId55">
        <w:r>
          <w:rPr>
            <w:rFonts w:ascii="Calibri" w:hAnsi="Calibri"/>
            <w:color w:val="2E74B5"/>
            <w:u w:val="single"/>
          </w:rPr>
          <w:t>R034</w:t>
        </w:r>
      </w:hyperlink>
      <w:r>
        <w:rPr>
          <w:rFonts w:ascii="Calibri" w:hAnsi="Calibri"/>
          <w:color w:val="000000"/>
          <w:sz w:val="19"/>
        </w:rPr>
        <w:t xml:space="preserve"> - Modern LATE staging reframes older HS-ageing associations and requires TDP-43 context Limitation: Does not test vascular causation</w:t>
      </w:r>
    </w:p>
    <w:p>
      <w:pPr>
        <w:numPr>
          <w:ilvl w:val="0"/>
          <w:numId w:val="10"/>
        </w:numPr>
        <w:spacing w:before="0" w:after="60" w:line="276" w:lineRule="auto"/>
      </w:pPr>
      <w:r>
        <w:rPr>
          <w:rFonts w:ascii="Calibri" w:hAnsi="Calibri"/>
          <w:b/>
          <w:color w:val="1F4D78"/>
          <w:sz w:val="19"/>
        </w:rPr>
        <w:t xml:space="preserve">CONTEXT | </w:t>
      </w:r>
      <w:hyperlink r:id="rId56">
        <w:r>
          <w:rPr>
            <w:rFonts w:ascii="Calibri" w:hAnsi="Calibri"/>
            <w:color w:val="2E74B5"/>
            <w:u w:val="single"/>
          </w:rPr>
          <w:t>S016/R050</w:t>
        </w:r>
      </w:hyperlink>
      <w:r>
        <w:rPr>
          <w:rFonts w:ascii="Calibri" w:hAnsi="Calibri"/>
          <w:color w:val="000000"/>
          <w:sz w:val="19"/>
        </w:rPr>
        <w:t xml:space="preserve"> - Vascular and protein pathologies were mapped together Limitation: Complete result extraction pending</w:t>
      </w:r>
    </w:p>
    <w:p>
      <w:pPr>
        <w:keepNext/>
        <w:spacing w:before="160" w:after="80"/>
      </w:pPr>
      <w:r>
        <w:rPr>
          <w:rFonts w:ascii="Calibri" w:hAnsi="Calibri"/>
          <w:b/>
          <w:color w:val="1F4D78"/>
          <w:sz w:val="22"/>
        </w:rPr>
        <w:t>C010 | Nonhemorrhagic tissue injury contributes importantly to cognition in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Diffusion, network, white-matter, and ischemic injury are plausible contributors beyond overt ICH</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Their independent causal proportion after AD, LATE, and arteriolosclerosis are fully controlled</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Co-pathology and mediation are incompletely measured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Longitudinal multimodal change models with AD/LATE biomarkers and incident lesions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7">
        <w:r>
          <w:rPr>
            <w:rFonts w:ascii="Calibri" w:hAnsi="Calibri"/>
            <w:color w:val="2E74B5"/>
            <w:u w:val="single"/>
          </w:rPr>
          <w:t>R010</w:t>
        </w:r>
      </w:hyperlink>
      <w:r>
        <w:rPr>
          <w:rFonts w:ascii="Calibri" w:hAnsi="Calibri"/>
          <w:color w:val="000000"/>
          <w:sz w:val="19"/>
        </w:rPr>
        <w:t xml:space="preserve"> - Ischemic, white-matter, and network injury are placed within progression before/alongside hemorrhage Limitation: Framework combines heterogeneous evidence</w:t>
      </w:r>
    </w:p>
    <w:p>
      <w:pPr>
        <w:numPr>
          <w:ilvl w:val="0"/>
          <w:numId w:val="10"/>
        </w:numPr>
        <w:spacing w:before="0" w:after="60" w:line="276" w:lineRule="auto"/>
      </w:pPr>
      <w:r>
        <w:rPr>
          <w:rFonts w:ascii="Calibri" w:hAnsi="Calibri"/>
          <w:b/>
          <w:color w:val="236B4A"/>
          <w:sz w:val="19"/>
        </w:rPr>
        <w:t xml:space="preserve">SUPPORTS | </w:t>
      </w:r>
      <w:hyperlink r:id="rId57">
        <w:r>
          <w:rPr>
            <w:rFonts w:ascii="Calibri" w:hAnsi="Calibri"/>
            <w:color w:val="2E74B5"/>
            <w:u w:val="single"/>
          </w:rPr>
          <w:t>R029</w:t>
        </w:r>
      </w:hyperlink>
      <w:r>
        <w:rPr>
          <w:rFonts w:ascii="Calibri" w:hAnsi="Calibri"/>
          <w:color w:val="000000"/>
          <w:sz w:val="19"/>
        </w:rPr>
        <w:t xml:space="preserve"> - Total SVD burden associated with lower network efficiency Limitation: Cross-sectional and composite score</w:t>
      </w:r>
    </w:p>
    <w:p>
      <w:pPr>
        <w:numPr>
          <w:ilvl w:val="0"/>
          <w:numId w:val="10"/>
        </w:numPr>
        <w:spacing w:before="0" w:after="60" w:line="276" w:lineRule="auto"/>
      </w:pPr>
      <w:r>
        <w:rPr>
          <w:rFonts w:ascii="Calibri" w:hAnsi="Calibri"/>
          <w:b/>
          <w:color w:val="1F4D78"/>
          <w:sz w:val="19"/>
        </w:rPr>
        <w:t xml:space="preserve">QUALIFIES | </w:t>
      </w:r>
      <w:hyperlink r:id="rId16">
        <w:r>
          <w:rPr>
            <w:rFonts w:ascii="Calibri" w:hAnsi="Calibri"/>
            <w:color w:val="2E74B5"/>
            <w:u w:val="single"/>
          </w:rPr>
          <w:t>R004</w:t>
        </w:r>
      </w:hyperlink>
      <w:r>
        <w:rPr>
          <w:rFonts w:ascii="Calibri" w:hAnsi="Calibri"/>
          <w:color w:val="000000"/>
          <w:sz w:val="19"/>
        </w:rPr>
        <w:t xml:space="preserve"> - Cognitive impairment reflects hemorrhagic, ischemic, network, and co-pathology mechanisms Limitation: Relative causal shares remain uncertain</w:t>
      </w:r>
    </w:p>
    <w:p>
      <w:pPr>
        <w:keepNext/>
        <w:spacing w:before="160" w:after="80"/>
      </w:pPr>
      <w:r>
        <w:rPr>
          <w:rFonts w:ascii="Calibri" w:hAnsi="Calibri"/>
          <w:b/>
          <w:color w:val="1F4D78"/>
          <w:sz w:val="22"/>
        </w:rPr>
        <w:t>C011 | ARTS predicts pathology-linked arteriolosclerosis risk in older research cohorts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ARTS shows approximately 0.8 discrimination under short MRI-death intervals in development/testing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diagnostic accuracy in younger or representative populations, calibrated thresholds, or treatment responsiveness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Small pathology test set and incomplete external pathology replication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Locked multisite pathology validation with calibration and prespecified subgroup analysis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AUC approached 0.8 when MRI-death interval was short Limitation: Small pathology sample and incomplete calibration</w:t>
      </w:r>
    </w:p>
    <w:p>
      <w:pPr>
        <w:numPr>
          <w:ilvl w:val="0"/>
          <w:numId w:val="10"/>
        </w:numPr>
        <w:spacing w:before="0" w:after="60" w:line="276" w:lineRule="auto"/>
      </w:pPr>
      <w:r>
        <w:rPr>
          <w:rFonts w:ascii="Calibri" w:hAnsi="Calibri"/>
          <w:b/>
          <w:color w:val="1F4D78"/>
          <w:sz w:val="19"/>
        </w:rPr>
        <w:t xml:space="preserve">QUALIFIES | </w:t>
      </w:r>
      <w:hyperlink r:id="rId32">
        <w:r>
          <w:rPr>
            <w:rFonts w:ascii="Calibri" w:hAnsi="Calibri"/>
            <w:color w:val="2E74B5"/>
            <w:u w:val="single"/>
          </w:rPr>
          <w:t>S006/R017</w:t>
        </w:r>
      </w:hyperlink>
      <w:r>
        <w:rPr>
          <w:rFonts w:ascii="Calibri" w:hAnsi="Calibri"/>
          <w:color w:val="000000"/>
          <w:sz w:val="19"/>
        </w:rPr>
        <w:t xml:space="preserve"> - AUC fell as MRI-death interval lengthened Limitation: Threshold of 2.4 years is sample-dependent</w:t>
      </w:r>
    </w:p>
    <w:p>
      <w:pPr>
        <w:numPr>
          <w:ilvl w:val="0"/>
          <w:numId w:val="10"/>
        </w:numPr>
        <w:spacing w:before="0" w:after="60" w:line="276" w:lineRule="auto"/>
      </w:pPr>
      <w:r>
        <w:rPr>
          <w:rFonts w:ascii="Calibri" w:hAnsi="Calibri"/>
          <w:b/>
          <w:color w:val="1F4D78"/>
          <w:sz w:val="19"/>
        </w:rPr>
        <w:t xml:space="preserve">CONTEXT | </w:t>
      </w:r>
      <w:hyperlink r:id="rId33">
        <w:r>
          <w:rPr>
            <w:rFonts w:ascii="Calibri" w:hAnsi="Calibri"/>
            <w:color w:val="2E74B5"/>
            <w:u w:val="single"/>
          </w:rPr>
          <w:t>S007/R018</w:t>
        </w:r>
      </w:hyperlink>
      <w:r>
        <w:rPr>
          <w:rFonts w:ascii="Calibri" w:hAnsi="Calibri"/>
          <w:color w:val="000000"/>
          <w:sz w:val="19"/>
        </w:rPr>
        <w:t xml:space="preserve"> - Container produced highly reproducible scores Limitation: Reproducibility does not validate pathology specificity</w:t>
      </w:r>
    </w:p>
    <w:p>
      <w:pPr>
        <w:keepNext/>
        <w:spacing w:before="160" w:after="80"/>
      </w:pPr>
      <w:r>
        <w:rPr>
          <w:rFonts w:ascii="Calibri" w:hAnsi="Calibri"/>
          <w:b/>
          <w:color w:val="1F4D78"/>
          <w:sz w:val="22"/>
        </w:rPr>
        <w:t>C012 | ARTS is technically reproducible across repeat scans and scanners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Available studies report excellent repeatability and reproducibility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Etiologic specificity, clinical benefit, or biological change sensitivity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multisite report is currently a supplement abstract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Full protocol and results report with failure rates and version-locked container</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Scan-rescan ICC 0.99 Limitation: Single development ecosystem</w:t>
      </w:r>
    </w:p>
    <w:p>
      <w:pPr>
        <w:numPr>
          <w:ilvl w:val="0"/>
          <w:numId w:val="10"/>
        </w:numPr>
        <w:spacing w:before="0" w:after="60" w:line="276" w:lineRule="auto"/>
      </w:pPr>
      <w:r>
        <w:rPr>
          <w:rFonts w:ascii="Calibri" w:hAnsi="Calibri"/>
          <w:b/>
          <w:color w:val="236B4A"/>
          <w:sz w:val="19"/>
        </w:rPr>
        <w:t xml:space="preserve">SUPPORTS | </w:t>
      </w:r>
      <w:hyperlink r:id="rId33">
        <w:r>
          <w:rPr>
            <w:rFonts w:ascii="Calibri" w:hAnsi="Calibri"/>
            <w:color w:val="2E74B5"/>
            <w:u w:val="single"/>
          </w:rPr>
          <w:t>S007/R018</w:t>
        </w:r>
      </w:hyperlink>
      <w:r>
        <w:rPr>
          <w:rFonts w:ascii="Calibri" w:hAnsi="Calibri"/>
          <w:color w:val="000000"/>
          <w:sz w:val="19"/>
        </w:rPr>
        <w:t xml:space="preserve"> - Inter-rater ICC 0.9999, retest 0.996, inter-scanner 0.955 Limitation: Supplement abstract with limited failure-mode detail</w:t>
      </w:r>
    </w:p>
    <w:p>
      <w:pPr>
        <w:keepNext/>
        <w:spacing w:before="160" w:after="80"/>
      </w:pPr>
      <w:r>
        <w:rPr>
          <w:rFonts w:ascii="Calibri" w:hAnsi="Calibri"/>
          <w:b/>
          <w:color w:val="1F4D78"/>
          <w:sz w:val="22"/>
        </w:rPr>
        <w:t>C013 | Higher ARTS scores are associated with cognitive decline and vascular outcomes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Multiple older-adult cohorts show associations with cognition and incident MCI, dementia, or stroke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the associations are mediated specifically by arteriolosclerosis or improve decisions beyond established predictors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Predictor composition and residual confounding complicate causal interpretation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incremental-value and decision-curve studies with pathology-informed mediation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32">
        <w:r>
          <w:rPr>
            <w:rFonts w:ascii="Calibri" w:hAnsi="Calibri"/>
            <w:color w:val="2E74B5"/>
            <w:u w:val="single"/>
          </w:rPr>
          <w:t>S006/R017</w:t>
        </w:r>
      </w:hyperlink>
      <w:r>
        <w:rPr>
          <w:rFonts w:ascii="Calibri" w:hAnsi="Calibri"/>
          <w:color w:val="000000"/>
          <w:sz w:val="19"/>
        </w:rPr>
        <w:t xml:space="preserve"> - Higher ARTS related to two-year decline, especially perceptual speed Limitation: Multiple testing and causal specificity concerns</w:t>
      </w:r>
    </w:p>
    <w:p>
      <w:pPr>
        <w:numPr>
          <w:ilvl w:val="0"/>
          <w:numId w:val="10"/>
        </w:numPr>
        <w:spacing w:before="0" w:after="60" w:line="276" w:lineRule="auto"/>
      </w:pPr>
      <w:r>
        <w:rPr>
          <w:rFonts w:ascii="Calibri" w:hAnsi="Calibri"/>
          <w:b/>
          <w:color w:val="236B4A"/>
          <w:sz w:val="19"/>
        </w:rPr>
        <w:t xml:space="preserve">SUPPORTS | </w:t>
      </w:r>
      <w:hyperlink r:id="rId33">
        <w:r>
          <w:rPr>
            <w:rFonts w:ascii="Calibri" w:hAnsi="Calibri"/>
            <w:color w:val="2E74B5"/>
            <w:u w:val="single"/>
          </w:rPr>
          <w:t>S007/R018</w:t>
        </w:r>
      </w:hyperlink>
      <w:r>
        <w:rPr>
          <w:rFonts w:ascii="Calibri" w:hAnsi="Calibri"/>
          <w:color w:val="000000"/>
          <w:sz w:val="19"/>
        </w:rPr>
        <w:t xml:space="preserve"> - Higher ARTS associated with worse baseline and longitudinal executive/perceptual speed measures Limitation: Clinical validation was not pathology validation</w:t>
      </w:r>
    </w:p>
    <w:p>
      <w:pPr>
        <w:numPr>
          <w:ilvl w:val="0"/>
          <w:numId w:val="10"/>
        </w:numPr>
        <w:spacing w:before="0" w:after="60" w:line="276" w:lineRule="auto"/>
      </w:pPr>
      <w:r>
        <w:rPr>
          <w:rFonts w:ascii="Calibri" w:hAnsi="Calibri"/>
          <w:b/>
          <w:color w:val="236B4A"/>
          <w:sz w:val="19"/>
        </w:rPr>
        <w:t xml:space="preserve">SUPPORTS | </w:t>
      </w:r>
      <w:hyperlink r:id="rId58">
        <w:r>
          <w:rPr>
            <w:rFonts w:ascii="Calibri" w:hAnsi="Calibri"/>
            <w:color w:val="2E74B5"/>
            <w:u w:val="single"/>
          </w:rPr>
          <w:t>S008/R019</w:t>
        </w:r>
      </w:hyperlink>
      <w:r>
        <w:rPr>
          <w:rFonts w:ascii="Calibri" w:hAnsi="Calibri"/>
          <w:color w:val="000000"/>
          <w:sz w:val="19"/>
        </w:rPr>
        <w:t xml:space="preserve"> - Higher score associated with incident MCI, dementia, stroke, and vascular risks Limitation: Incremental utility and mediation remain uncertain</w:t>
      </w:r>
    </w:p>
    <w:p>
      <w:pPr>
        <w:keepNext/>
        <w:spacing w:before="160" w:after="80"/>
      </w:pPr>
      <w:r>
        <w:rPr>
          <w:rFonts w:ascii="Calibri" w:hAnsi="Calibri"/>
          <w:b/>
          <w:color w:val="1F4D78"/>
          <w:sz w:val="22"/>
        </w:rPr>
        <w:t>C014 | Inflammation participates in CAA vessel injury and ARIA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Inflammatory states are consistently linked to CAA-ri, ARIA, and late-stage vessel remodeling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uniform harmful role at all stages or a simple inflammation-to-rupture sequence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Inflammation can be cause, response, or attempted clearance</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Spatial immune-state comparison across stable clearance, edema, remodeling, and rupture</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47">
        <w:r>
          <w:rPr>
            <w:rFonts w:ascii="Calibri" w:hAnsi="Calibri"/>
            <w:color w:val="2E74B5"/>
            <w:u w:val="single"/>
          </w:rPr>
          <w:t>S005/R013</w:t>
        </w:r>
      </w:hyperlink>
      <w:r>
        <w:rPr>
          <w:rFonts w:ascii="Calibri" w:hAnsi="Calibri"/>
          <w:color w:val="000000"/>
          <w:sz w:val="19"/>
        </w:rPr>
        <w:t xml:space="preserve"> - Perivascular astrocyte/microglial responses concentrated at later remodeled vessel grades Limitation: Small cross-sectional series</w:t>
      </w:r>
    </w:p>
    <w:p>
      <w:pPr>
        <w:numPr>
          <w:ilvl w:val="0"/>
          <w:numId w:val="10"/>
        </w:numPr>
        <w:spacing w:before="0" w:after="60" w:line="276" w:lineRule="auto"/>
      </w:pPr>
      <w:r>
        <w:rPr>
          <w:rFonts w:ascii="Calibri" w:hAnsi="Calibri"/>
          <w:b/>
          <w:color w:val="236B4A"/>
          <w:sz w:val="19"/>
        </w:rPr>
        <w:t xml:space="preserve">SUPPORTS | </w:t>
      </w:r>
      <w:hyperlink r:id="rId48">
        <w:r>
          <w:rPr>
            <w:rFonts w:ascii="Calibri" w:hAnsi="Calibri"/>
            <w:color w:val="2E74B5"/>
            <w:u w:val="single"/>
          </w:rPr>
          <w:t>R014</w:t>
        </w:r>
      </w:hyperlink>
      <w:r>
        <w:rPr>
          <w:rFonts w:ascii="Calibri" w:hAnsi="Calibri"/>
          <w:color w:val="000000"/>
          <w:sz w:val="19"/>
        </w:rPr>
        <w:t xml:space="preserve"> - Inflammation is implicated across spontaneous and treatment-related amyloid vascular injury Limitation: Stage and direction vary</w:t>
      </w:r>
    </w:p>
    <w:p>
      <w:pPr>
        <w:numPr>
          <w:ilvl w:val="0"/>
          <w:numId w:val="10"/>
        </w:numPr>
        <w:spacing w:before="0" w:after="60" w:line="276" w:lineRule="auto"/>
      </w:pPr>
      <w:r>
        <w:rPr>
          <w:rFonts w:ascii="Calibri" w:hAnsi="Calibri"/>
          <w:b/>
          <w:color w:val="1F4D78"/>
          <w:sz w:val="19"/>
        </w:rPr>
        <w:t xml:space="preserve">CONTEXT | </w:t>
      </w:r>
      <w:hyperlink r:id="rId59">
        <w:r>
          <w:rPr>
            <w:rFonts w:ascii="Calibri" w:hAnsi="Calibri"/>
            <w:color w:val="2E74B5"/>
            <w:u w:val="single"/>
          </w:rPr>
          <w:t>R040</w:t>
        </w:r>
      </w:hyperlink>
      <w:r>
        <w:rPr>
          <w:rFonts w:ascii="Calibri" w:hAnsi="Calibri"/>
          <w:color w:val="000000"/>
          <w:sz w:val="19"/>
        </w:rPr>
        <w:t xml:space="preserve"> - ARIA-E/H risk and monitoring connect vascular amyloid, permeability, and hemorrhage Limitation: Management consensus is not a direct mechanism experiment</w:t>
      </w:r>
    </w:p>
    <w:p>
      <w:pPr>
        <w:keepNext/>
        <w:spacing w:before="160" w:after="80"/>
      </w:pPr>
      <w:r>
        <w:rPr>
          <w:rFonts w:ascii="Calibri" w:hAnsi="Calibri"/>
          <w:b/>
          <w:color w:val="1F4D78"/>
          <w:sz w:val="22"/>
        </w:rPr>
        <w:t>C015 | CAA and Alzheimer disease share amyloid biology but remain compartmentally distinct diseases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Shared A-beta/APOE/age biology and frequent coexistence do not erase differences between vessel wall and parenchyma</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single unitary disease model</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Compartment-specific temporal interactions remain uncertain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Joint molecular and longitudinal modeling of vascular and parenchymal amyloid</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16">
        <w:r>
          <w:rPr>
            <w:rFonts w:ascii="Calibri" w:hAnsi="Calibri"/>
            <w:color w:val="2E74B5"/>
            <w:u w:val="single"/>
          </w:rPr>
          <w:t>R004</w:t>
        </w:r>
      </w:hyperlink>
      <w:r>
        <w:rPr>
          <w:rFonts w:ascii="Calibri" w:hAnsi="Calibri"/>
          <w:color w:val="000000"/>
          <w:sz w:val="19"/>
        </w:rPr>
        <w:t xml:space="preserve"> - CAA and AD share amyloid biology but have distinct clinical/pathologic expressions Limitation: Narrative synthesis</w:t>
      </w:r>
    </w:p>
    <w:p>
      <w:pPr>
        <w:numPr>
          <w:ilvl w:val="0"/>
          <w:numId w:val="10"/>
        </w:numPr>
        <w:spacing w:before="0" w:after="60" w:line="276" w:lineRule="auto"/>
      </w:pPr>
      <w:r>
        <w:rPr>
          <w:rFonts w:ascii="Calibri" w:hAnsi="Calibri"/>
          <w:b/>
          <w:color w:val="236B4A"/>
          <w:sz w:val="19"/>
        </w:rPr>
        <w:t xml:space="preserve">SUPPORTS | </w:t>
      </w:r>
      <w:hyperlink r:id="rId14">
        <w:r>
          <w:rPr>
            <w:rFonts w:ascii="Calibri" w:hAnsi="Calibri"/>
            <w:color w:val="2E74B5"/>
            <w:u w:val="single"/>
          </w:rPr>
          <w:t>R005</w:t>
        </w:r>
      </w:hyperlink>
      <w:r>
        <w:rPr>
          <w:rFonts w:ascii="Calibri" w:hAnsi="Calibri"/>
          <w:color w:val="000000"/>
          <w:sz w:val="19"/>
        </w:rPr>
        <w:t xml:space="preserve"> - Compartment-specific disease and overlapping AD biology are both emphasized Limitation: Review-level</w:t>
      </w:r>
    </w:p>
    <w:p>
      <w:pPr>
        <w:numPr>
          <w:ilvl w:val="0"/>
          <w:numId w:val="10"/>
        </w:numPr>
        <w:spacing w:before="0" w:after="60" w:line="276" w:lineRule="auto"/>
      </w:pPr>
      <w:r>
        <w:rPr>
          <w:rFonts w:ascii="Calibri" w:hAnsi="Calibri"/>
          <w:b/>
          <w:color w:val="1F4D78"/>
          <w:sz w:val="19"/>
        </w:rPr>
        <w:t xml:space="preserve">CONTEXT | </w:t>
      </w:r>
      <w:hyperlink r:id="rId60">
        <w:r>
          <w:rPr>
            <w:rFonts w:ascii="Calibri" w:hAnsi="Calibri"/>
            <w:color w:val="2E74B5"/>
            <w:u w:val="single"/>
          </w:rPr>
          <w:t>S010/R035</w:t>
        </w:r>
      </w:hyperlink>
      <w:r>
        <w:rPr>
          <w:rFonts w:ascii="Calibri" w:hAnsi="Calibri"/>
          <w:color w:val="000000"/>
          <w:sz w:val="19"/>
        </w:rPr>
        <w:t xml:space="preserve"> - Vasculature relates spatially to tau/TDP-43 in vulnerable regions Limitation: Does not directly test CAA-AD unity</w:t>
      </w:r>
    </w:p>
    <w:p>
      <w:pPr>
        <w:numPr>
          <w:ilvl w:val="0"/>
          <w:numId w:val="10"/>
        </w:numPr>
        <w:spacing w:before="0" w:after="60" w:line="276" w:lineRule="auto"/>
      </w:pPr>
      <w:r>
        <w:rPr>
          <w:rFonts w:ascii="Calibri" w:hAnsi="Calibri"/>
          <w:b/>
          <w:color w:val="1F4D78"/>
          <w:sz w:val="19"/>
        </w:rPr>
        <w:t xml:space="preserve">CONTEXT | </w:t>
      </w:r>
      <w:hyperlink r:id="rId56">
        <w:r>
          <w:rPr>
            <w:rFonts w:ascii="Calibri" w:hAnsi="Calibri"/>
            <w:color w:val="2E74B5"/>
            <w:u w:val="single"/>
          </w:rPr>
          <w:t>S016/R050</w:t>
        </w:r>
      </w:hyperlink>
      <w:r>
        <w:rPr>
          <w:rFonts w:ascii="Calibri" w:hAnsi="Calibri"/>
          <w:color w:val="000000"/>
          <w:sz w:val="19"/>
        </w:rPr>
        <w:t xml:space="preserve"> - Vascular and proteinopathies coexist in the same anatomical system Limitation: Temporal/causal relationships unresolved</w:t>
      </w:r>
    </w:p>
    <w:p>
      <w:pPr>
        <w:keepNext/>
        <w:spacing w:before="160" w:after="80"/>
      </w:pPr>
      <w:r>
        <w:rPr>
          <w:rFonts w:ascii="Calibri" w:hAnsi="Calibri"/>
          <w:b/>
          <w:color w:val="1F4D78"/>
          <w:sz w:val="22"/>
        </w:rPr>
        <w:t>C016 | Composite SVD scores summarize burden but do not identify etiology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Ordinal scores can stratify total visible burden and prognosis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Continuous severity, lesion mechanism, equal biological weighting, or one underlying disease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Thresholding and equal weights discard spatial and continuous information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External comparison with continuous latent spatial measures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1">
        <w:r>
          <w:rPr>
            <w:rFonts w:ascii="Calibri" w:hAnsi="Calibri"/>
            <w:color w:val="2E74B5"/>
            <w:u w:val="single"/>
          </w:rPr>
          <w:t>R027</w:t>
        </w:r>
      </w:hyperlink>
      <w:r>
        <w:rPr>
          <w:rFonts w:ascii="Calibri" w:hAnsi="Calibri"/>
          <w:color w:val="000000"/>
          <w:sz w:val="19"/>
        </w:rPr>
        <w:t xml:space="preserve"> - A 0-4 score summarizes presence of four MRI feature classes Limitation: Equal weighting and thresholds</w:t>
      </w:r>
    </w:p>
    <w:p>
      <w:pPr>
        <w:numPr>
          <w:ilvl w:val="0"/>
          <w:numId w:val="10"/>
        </w:numPr>
        <w:spacing w:before="0" w:after="60" w:line="276" w:lineRule="auto"/>
      </w:pPr>
      <w:r>
        <w:rPr>
          <w:rFonts w:ascii="Calibri" w:hAnsi="Calibri"/>
          <w:b/>
          <w:color w:val="236B4A"/>
          <w:sz w:val="19"/>
        </w:rPr>
        <w:t xml:space="preserve">SUPPORTS | </w:t>
      </w:r>
      <w:hyperlink r:id="rId62">
        <w:r>
          <w:rPr>
            <w:rFonts w:ascii="Calibri" w:hAnsi="Calibri"/>
            <w:color w:val="2E74B5"/>
            <w:u w:val="single"/>
          </w:rPr>
          <w:t>S014/R028</w:t>
        </w:r>
      </w:hyperlink>
      <w:r>
        <w:rPr>
          <w:rFonts w:ascii="Calibri" w:hAnsi="Calibri"/>
          <w:color w:val="000000"/>
          <w:sz w:val="19"/>
        </w:rPr>
        <w:t xml:space="preserve"> - CAA-SVD score organizes CAA-oriented visible MRI burden Limitation: Not a diagnostic criterion or continuous measure</w:t>
      </w:r>
    </w:p>
    <w:p>
      <w:pPr>
        <w:numPr>
          <w:ilvl w:val="0"/>
          <w:numId w:val="10"/>
        </w:numPr>
        <w:spacing w:before="0" w:after="60" w:line="276" w:lineRule="auto"/>
      </w:pPr>
      <w:r>
        <w:rPr>
          <w:rFonts w:ascii="Calibri" w:hAnsi="Calibri"/>
          <w:b/>
          <w:color w:val="1F4D78"/>
          <w:sz w:val="19"/>
        </w:rPr>
        <w:t xml:space="preserve">QUALIFIES | </w:t>
      </w:r>
      <w:hyperlink r:id="rId57">
        <w:r>
          <w:rPr>
            <w:rFonts w:ascii="Calibri" w:hAnsi="Calibri"/>
            <w:color w:val="2E74B5"/>
            <w:u w:val="single"/>
          </w:rPr>
          <w:t>R029</w:t>
        </w:r>
      </w:hyperlink>
      <w:r>
        <w:rPr>
          <w:rFonts w:ascii="Calibri" w:hAnsi="Calibri"/>
          <w:color w:val="000000"/>
          <w:sz w:val="19"/>
        </w:rPr>
        <w:t xml:space="preserve"> - Composite burden related to network efficiency Limitation: Association does not identify lesion cause</w:t>
      </w:r>
    </w:p>
    <w:p>
      <w:pPr>
        <w:keepNext/>
        <w:spacing w:before="160" w:after="80"/>
      </w:pPr>
      <w:r>
        <w:rPr>
          <w:rFonts w:ascii="Calibri" w:hAnsi="Calibri"/>
          <w:b/>
          <w:color w:val="1F4D78"/>
          <w:sz w:val="22"/>
        </w:rPr>
        <w:t>C017 | Boston v2.0 accuracy is strongly dependent on clinical context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High</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Performance is materially higher in symptomatic tissue-selected cohorts than in community or nonhemorrhagic samples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Universal sensitivity or specificity across referral, memory, and screening settings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Available community validations remain selected autopsy-MRI subsets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multicentre validation across prespecified intended-use populations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21">
        <w:r>
          <w:rPr>
            <w:rFonts w:ascii="Calibri" w:hAnsi="Calibri"/>
            <w:color w:val="2E74B5"/>
            <w:u w:val="single"/>
          </w:rPr>
          <w:t>S001/R006</w:t>
        </w:r>
      </w:hyperlink>
      <w:r>
        <w:rPr>
          <w:rFonts w:ascii="Calibri" w:hAnsi="Calibri"/>
          <w:color w:val="000000"/>
          <w:sz w:val="19"/>
        </w:rPr>
        <w:t xml:space="preserve"> - Probable v2.0 achieved sensitivity 74.8-92.5% and specificity 81.5-95.0% across reported samples Limitation: Tissue-selected symptomatic spectrum</w:t>
      </w:r>
    </w:p>
    <w:p>
      <w:pPr>
        <w:numPr>
          <w:ilvl w:val="0"/>
          <w:numId w:val="10"/>
        </w:numPr>
        <w:spacing w:before="0" w:after="60" w:line="276" w:lineRule="auto"/>
      </w:pPr>
      <w:r>
        <w:rPr>
          <w:rFonts w:ascii="Calibri" w:hAnsi="Calibri"/>
          <w:b/>
          <w:color w:val="236B4A"/>
          <w:sz w:val="19"/>
        </w:rPr>
        <w:t xml:space="preserve">SUPPORTS | </w:t>
      </w:r>
      <w:hyperlink r:id="rId50">
        <w:r>
          <w:rPr>
            <w:rFonts w:ascii="Calibri" w:hAnsi="Calibri"/>
            <w:color w:val="2E74B5"/>
            <w:u w:val="single"/>
          </w:rPr>
          <w:t>S012/R051</w:t>
        </w:r>
      </w:hyperlink>
      <w:r>
        <w:rPr>
          <w:rFonts w:ascii="Calibri" w:hAnsi="Calibri"/>
          <w:color w:val="000000"/>
          <w:sz w:val="19"/>
        </w:rPr>
        <w:t xml:space="preserve"> - Sensitivity fell to 38.8% with specificity 83.5% Limitation: Selected community autopsy subset</w:t>
      </w:r>
    </w:p>
    <w:p>
      <w:pPr>
        <w:numPr>
          <w:ilvl w:val="0"/>
          <w:numId w:val="10"/>
        </w:numPr>
        <w:spacing w:before="0" w:after="60" w:line="276" w:lineRule="auto"/>
      </w:pPr>
      <w:r>
        <w:rPr>
          <w:rFonts w:ascii="Calibri" w:hAnsi="Calibri"/>
          <w:b/>
          <w:color w:val="236B4A"/>
          <w:sz w:val="19"/>
        </w:rPr>
        <w:t xml:space="preserve">SUPPORTS | </w:t>
      </w:r>
      <w:hyperlink r:id="rId51">
        <w:r>
          <w:rPr>
            <w:rFonts w:ascii="Calibri" w:hAnsi="Calibri"/>
            <w:color w:val="2E74B5"/>
            <w:u w:val="single"/>
          </w:rPr>
          <w:t>S013/R052</w:t>
        </w:r>
      </w:hyperlink>
      <w:r>
        <w:rPr>
          <w:rFonts w:ascii="Calibri" w:hAnsi="Calibri"/>
          <w:color w:val="000000"/>
          <w:sz w:val="19"/>
        </w:rPr>
        <w:t xml:space="preserve"> - Probable v2.0 sensitivity 28.6%, specificity 65.3%, AUC 0.47 Limitation: Small sample and wide uncertainty</w:t>
      </w:r>
    </w:p>
    <w:p>
      <w:pPr>
        <w:keepNext/>
        <w:spacing w:before="160" w:after="80"/>
      </w:pPr>
      <w:r>
        <w:rPr>
          <w:rFonts w:ascii="Calibri" w:hAnsi="Calibri"/>
          <w:b/>
          <w:color w:val="1F4D78"/>
          <w:sz w:val="22"/>
        </w:rPr>
        <w:t>C018 | No fluid biomarker is currently sufficiently specific and validated for routine standalone CAA diagnosis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CSF and plasma measures remain research tools whose signals overlap with Alzheimer 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fluid measures have no future role in multimodal or treatment-risk models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Few pathology-referenced studies and substantial AD overlap</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Large pathology-anchored multimodal studies with prespecified cutoffs and external validation</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3">
        <w:r>
          <w:rPr>
            <w:rFonts w:ascii="Calibri" w:hAnsi="Calibri"/>
            <w:color w:val="2E74B5"/>
            <w:u w:val="single"/>
          </w:rPr>
          <w:t>R031</w:t>
        </w:r>
      </w:hyperlink>
      <w:r>
        <w:rPr>
          <w:rFonts w:ascii="Calibri" w:hAnsi="Calibri"/>
          <w:color w:val="000000"/>
          <w:sz w:val="19"/>
        </w:rPr>
        <w:t xml:space="preserve"> - CSF A-beta patterns differ on average but overlap limits individual diagnosis Limitation: Small heterogeneous studies and clinical rather than pathology reference</w:t>
      </w:r>
    </w:p>
    <w:p>
      <w:pPr>
        <w:numPr>
          <w:ilvl w:val="0"/>
          <w:numId w:val="10"/>
        </w:numPr>
        <w:spacing w:before="0" w:after="60" w:line="276" w:lineRule="auto"/>
      </w:pPr>
      <w:r>
        <w:rPr>
          <w:rFonts w:ascii="Calibri" w:hAnsi="Calibri"/>
          <w:b/>
          <w:color w:val="1F4D78"/>
          <w:sz w:val="19"/>
        </w:rPr>
        <w:t xml:space="preserve">CONTEXT | </w:t>
      </w:r>
      <w:hyperlink r:id="rId64">
        <w:r>
          <w:rPr>
            <w:rFonts w:ascii="Calibri" w:hAnsi="Calibri"/>
            <w:color w:val="2E74B5"/>
            <w:u w:val="single"/>
          </w:rPr>
          <w:t>R032</w:t>
        </w:r>
      </w:hyperlink>
      <w:r>
        <w:rPr>
          <w:rFonts w:ascii="Calibri" w:hAnsi="Calibri"/>
          <w:color w:val="000000"/>
          <w:sz w:val="19"/>
        </w:rPr>
        <w:t xml:space="preserve"> - PET can be sensitive to amyloid but parenchymal plaque signal limits specificity Limitation: Tracer and comparator heterogeneity</w:t>
      </w:r>
    </w:p>
    <w:p>
      <w:pPr>
        <w:numPr>
          <w:ilvl w:val="0"/>
          <w:numId w:val="10"/>
        </w:numPr>
        <w:spacing w:before="0" w:after="60" w:line="276" w:lineRule="auto"/>
      </w:pPr>
      <w:r>
        <w:rPr>
          <w:rFonts w:ascii="Calibri" w:hAnsi="Calibri"/>
          <w:b/>
          <w:color w:val="236B4A"/>
          <w:sz w:val="19"/>
        </w:rPr>
        <w:t xml:space="preserve">SUPPORTS | </w:t>
      </w:r>
      <w:hyperlink r:id="rId65">
        <w:r>
          <w:rPr>
            <w:rFonts w:ascii="Calibri" w:hAnsi="Calibri"/>
            <w:color w:val="2E74B5"/>
            <w:u w:val="single"/>
          </w:rPr>
          <w:t>R053</w:t>
        </w:r>
      </w:hyperlink>
      <w:r>
        <w:rPr>
          <w:rFonts w:ascii="Calibri" w:hAnsi="Calibri"/>
          <w:color w:val="000000"/>
          <w:sz w:val="19"/>
        </w:rPr>
        <w:t xml:space="preserve"> - No fluid marker considered sufficiently specific and validated for routine standalone diagnosis Limitation: Review conclusion awaits more pathology-anchored cohorts</w:t>
      </w:r>
    </w:p>
    <w:p>
      <w:pPr>
        <w:keepNext/>
        <w:spacing w:before="160" w:after="80"/>
      </w:pPr>
      <w:r>
        <w:rPr>
          <w:rFonts w:ascii="Calibri" w:hAnsi="Calibri"/>
          <w:b/>
          <w:color w:val="1F4D78"/>
          <w:sz w:val="22"/>
        </w:rPr>
        <w:t>C019 | Cerebrovascular reactivity is a reproducible physiological correlate of SVD-related cognition and imaging progression, but is not etiologically specific</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Multisite and longitudinal evidence supports CVR as a vascular-function marker related to cognition and later tissue injury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CVR identifies CAA or arteriolosclerosis, adds clinical utility beyond conventional MRI, or is treatment-responsive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 pathology-specific reference standard and nontrivial gas-challenge implementation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multisite longitudinal CVR with pathology or validated etiologic reference, incremental-value analysis, and intervention responsiveness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6">
        <w:r>
          <w:rPr>
            <w:rFonts w:ascii="Calibri" w:hAnsi="Calibri"/>
            <w:color w:val="2E74B5"/>
            <w:u w:val="single"/>
          </w:rPr>
          <w:t>S017/R054</w:t>
        </w:r>
      </w:hyperlink>
      <w:r>
        <w:rPr>
          <w:rFonts w:ascii="Calibri" w:hAnsi="Calibri"/>
          <w:color w:val="000000"/>
          <w:sz w:val="19"/>
        </w:rPr>
        <w:t xml:space="preserve"> - CVR-cognition associations reproduced across sites Limitation: Concurrent association and no pathology reference</w:t>
      </w:r>
    </w:p>
    <w:p>
      <w:pPr>
        <w:numPr>
          <w:ilvl w:val="0"/>
          <w:numId w:val="10"/>
        </w:numPr>
        <w:spacing w:before="0" w:after="60" w:line="276" w:lineRule="auto"/>
      </w:pPr>
      <w:r>
        <w:rPr>
          <w:rFonts w:ascii="Calibri" w:hAnsi="Calibri"/>
          <w:b/>
          <w:color w:val="236B4A"/>
          <w:sz w:val="19"/>
        </w:rPr>
        <w:t xml:space="preserve">SUPPORTS | </w:t>
      </w:r>
      <w:hyperlink r:id="rId67">
        <w:r>
          <w:rPr>
            <w:rFonts w:ascii="Calibri" w:hAnsi="Calibri"/>
            <w:color w:val="2E74B5"/>
            <w:u w:val="single"/>
          </w:rPr>
          <w:t>S018/R060</w:t>
        </w:r>
      </w:hyperlink>
      <w:r>
        <w:rPr>
          <w:rFonts w:ascii="Calibri" w:hAnsi="Calibri"/>
          <w:color w:val="000000"/>
          <w:sz w:val="19"/>
        </w:rPr>
        <w:t xml:space="preserve"> - Lower baseline CVR predicted WMH and PVS progression but not clinical outcomes Limitation: Single region and SVD-enriched stroke population</w:t>
      </w:r>
    </w:p>
    <w:p>
      <w:pPr>
        <w:keepNext/>
        <w:spacing w:before="160" w:after="80"/>
      </w:pPr>
      <w:r>
        <w:rPr>
          <w:rFonts w:ascii="Calibri" w:hAnsi="Calibri"/>
          <w:b/>
          <w:color w:val="1F4D78"/>
          <w:sz w:val="22"/>
        </w:rPr>
        <w:t>C020 | CAA-related inflammation has an ARIA-E-like clinical-radiological phenotype that differs from non-inflammatory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Asymmetric parenchymal/sulcal FLAIR abnormalities and gyral swelling strongly characterize referred CAA-ri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imaging alone always distinguishes CAA-ri from infection, neoplasm, PRES, vasculitis, or treatment-related ARIA</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Retrospective specialist samples and incomplete biopsy verification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blinded multicentre accuracy study against adjudicated clinicopathologic diagnosis with alternative inflammatory controls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68">
        <w:r>
          <w:rPr>
            <w:rFonts w:ascii="Calibri" w:hAnsi="Calibri"/>
            <w:color w:val="2E74B5"/>
            <w:u w:val="single"/>
          </w:rPr>
          <w:t>S019/R057</w:t>
        </w:r>
      </w:hyperlink>
      <w:r>
        <w:rPr>
          <w:rFonts w:ascii="Calibri" w:hAnsi="Calibri"/>
          <w:color w:val="000000"/>
          <w:sz w:val="19"/>
        </w:rPr>
        <w:t xml:space="preserve"> - FLAIR abnormalities and lobar microbleeds were highly prevalent Limitation: Heterogeneous retrospective evidence</w:t>
      </w:r>
    </w:p>
    <w:p>
      <w:pPr>
        <w:numPr>
          <w:ilvl w:val="0"/>
          <w:numId w:val="10"/>
        </w:numPr>
        <w:spacing w:before="0" w:after="60" w:line="276" w:lineRule="auto"/>
      </w:pPr>
      <w:r>
        <w:rPr>
          <w:rFonts w:ascii="Calibri" w:hAnsi="Calibri"/>
          <w:b/>
          <w:color w:val="236B4A"/>
          <w:sz w:val="19"/>
        </w:rPr>
        <w:t xml:space="preserve">SUPPORTS | </w:t>
      </w:r>
      <w:hyperlink r:id="rId69">
        <w:r>
          <w:rPr>
            <w:rFonts w:ascii="Calibri" w:hAnsi="Calibri"/>
            <w:color w:val="2E74B5"/>
            <w:u w:val="single"/>
          </w:rPr>
          <w:t>S021/R061</w:t>
        </w:r>
      </w:hyperlink>
      <w:r>
        <w:rPr>
          <w:rFonts w:ascii="Calibri" w:hAnsi="Calibri"/>
          <w:color w:val="000000"/>
          <w:sz w:val="19"/>
        </w:rPr>
        <w:t xml:space="preserve"> - ARIA-E features were much more common in CAA-ri Limitation: Referral cohort and incomplete pathology</w:t>
      </w:r>
    </w:p>
    <w:p>
      <w:pPr>
        <w:keepNext/>
        <w:spacing w:before="160" w:after="80"/>
      </w:pPr>
      <w:r>
        <w:rPr>
          <w:rFonts w:ascii="Calibri" w:hAnsi="Calibri"/>
          <w:b/>
          <w:color w:val="1F4D78"/>
          <w:sz w:val="22"/>
        </w:rPr>
        <w:t>C021 | Regional amyloid PET patterns may add differential information for CAA versus AD, but current evidence does not support standalone pathology-specific diagnosis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Low</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Group-level occipital-to-global and global retention differences are reproducible enough to justify prospective testing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validated patient-level threshold that separates vascular from parenchymal amyloid across tracers and disease stages</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 reference standards, tracer heterogeneity, and extensive AD co-pathology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Prospective multi-tracer PET-to-autopsy study with prespecified regional thresholds and mixed-pathology modeling</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0">
        <w:r>
          <w:rPr>
            <w:rFonts w:ascii="Calibri" w:hAnsi="Calibri"/>
            <w:color w:val="2E74B5"/>
            <w:u w:val="single"/>
          </w:rPr>
          <w:t>S020/R059</w:t>
        </w:r>
      </w:hyperlink>
      <w:r>
        <w:rPr>
          <w:rFonts w:ascii="Calibri" w:hAnsi="Calibri"/>
          <w:color w:val="000000"/>
          <w:sz w:val="19"/>
        </w:rPr>
        <w:t xml:space="preserve"> - Regional and global PET group differences were detected Limitation: Predominantly clinical CAA reference</w:t>
      </w:r>
    </w:p>
    <w:p>
      <w:pPr>
        <w:numPr>
          <w:ilvl w:val="0"/>
          <w:numId w:val="10"/>
        </w:numPr>
        <w:spacing w:before="0" w:after="60" w:line="276" w:lineRule="auto"/>
      </w:pPr>
      <w:r>
        <w:rPr>
          <w:rFonts w:ascii="Calibri" w:hAnsi="Calibri"/>
          <w:b/>
          <w:color w:val="1F4D78"/>
          <w:sz w:val="19"/>
        </w:rPr>
        <w:t xml:space="preserve">QUALIFIES | </w:t>
      </w:r>
      <w:hyperlink r:id="rId64">
        <w:r>
          <w:rPr>
            <w:rFonts w:ascii="Calibri" w:hAnsi="Calibri"/>
            <w:color w:val="2E74B5"/>
            <w:u w:val="single"/>
          </w:rPr>
          <w:t>R032</w:t>
        </w:r>
      </w:hyperlink>
      <w:r>
        <w:rPr>
          <w:rFonts w:ascii="Calibri" w:hAnsi="Calibri"/>
          <w:color w:val="000000"/>
          <w:sz w:val="19"/>
        </w:rPr>
        <w:t xml:space="preserve"> - High amyloid positivity in older adults and AD limits specificity Limitation: Older, smaller literature</w:t>
      </w:r>
    </w:p>
    <w:p>
      <w:pPr>
        <w:keepNext/>
        <w:spacing w:before="160" w:after="80"/>
      </w:pPr>
      <w:r>
        <w:rPr>
          <w:rFonts w:ascii="Calibri" w:hAnsi="Calibri"/>
          <w:b/>
          <w:color w:val="1F4D78"/>
          <w:sz w:val="22"/>
        </w:rPr>
        <w:t>C022 | Spontaneous CAA-related inflammation and treatment-related ARIA share vascular-amyloid, permeability, and inflammatory features but are not interchangeable entities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The overlap is a productive mechanistic analogy that informs detection and monitoring</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the conditions have identical initiating events, natural history, risk factors, or optimal treatment</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Mechanistic evidence is partly inferential and clinical data on severe ARIA predictors remain limited</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Harmonized longitudinal imaging, fluid, genetic, and pathology comparison of spontaneous CAA-ri and therapy-associated ARIA</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1">
        <w:r>
          <w:rPr>
            <w:rFonts w:ascii="Calibri" w:hAnsi="Calibri"/>
            <w:color w:val="2E74B5"/>
            <w:u w:val="single"/>
          </w:rPr>
          <w:t>R055</w:t>
        </w:r>
      </w:hyperlink>
      <w:r>
        <w:rPr>
          <w:rFonts w:ascii="Calibri" w:hAnsi="Calibri"/>
          <w:color w:val="000000"/>
          <w:sz w:val="19"/>
        </w:rPr>
        <w:t xml:space="preserve"> - Workgroup links vascular amyloid, inflammation, permeability, ARIA-E and ARIA-H Limitation: Mechanistic synthesis rather than direct comparison</w:t>
      </w:r>
    </w:p>
    <w:p>
      <w:pPr>
        <w:numPr>
          <w:ilvl w:val="0"/>
          <w:numId w:val="10"/>
        </w:numPr>
        <w:spacing w:before="0" w:after="60" w:line="276" w:lineRule="auto"/>
      </w:pPr>
      <w:r>
        <w:rPr>
          <w:rFonts w:ascii="Calibri" w:hAnsi="Calibri"/>
          <w:b/>
          <w:color w:val="1F4D78"/>
          <w:sz w:val="19"/>
        </w:rPr>
        <w:t xml:space="preserve">CONTEXT | </w:t>
      </w:r>
      <w:hyperlink r:id="rId69">
        <w:r>
          <w:rPr>
            <w:rFonts w:ascii="Calibri" w:hAnsi="Calibri"/>
            <w:color w:val="2E74B5"/>
            <w:u w:val="single"/>
          </w:rPr>
          <w:t>S021/R061</w:t>
        </w:r>
      </w:hyperlink>
      <w:r>
        <w:rPr>
          <w:rFonts w:ascii="Calibri" w:hAnsi="Calibri"/>
          <w:color w:val="000000"/>
          <w:sz w:val="19"/>
        </w:rPr>
        <w:t xml:space="preserve"> - CAA-ri expresses prominent ARIA-E-like abnormalities Limitation: No treated ARIA comparison group</w:t>
      </w:r>
    </w:p>
    <w:p>
      <w:pPr>
        <w:keepNext/>
        <w:spacing w:before="160" w:after="80"/>
      </w:pPr>
      <w:r>
        <w:rPr>
          <w:rFonts w:ascii="Calibri" w:hAnsi="Calibri"/>
          <w:b/>
          <w:color w:val="1F4D78"/>
          <w:sz w:val="22"/>
        </w:rPr>
        <w:t>C023 | Hereditary CAA is a powerful temporal and mechanistic model but does not automatically transport to sporadic late-life CAA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Monogenic disease can clarify sequence and penetrance under a defined causal lesion</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That effect sizes, ages, co-pathology, or treatment response match sporadic disease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Rare variants and younger, highly selected families differ from typical late-life multimorbidity</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Parallel harmonized longitudinal phenotyping of hereditary and sporadic CAA with shared biomarkers and explicit transport models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2">
        <w:r>
          <w:rPr>
            <w:rFonts w:ascii="Calibri" w:hAnsi="Calibri"/>
            <w:color w:val="2E74B5"/>
            <w:u w:val="single"/>
          </w:rPr>
          <w:t>R056</w:t>
        </w:r>
      </w:hyperlink>
      <w:r>
        <w:rPr>
          <w:rFonts w:ascii="Calibri" w:hAnsi="Calibri"/>
          <w:color w:val="000000"/>
          <w:sz w:val="19"/>
        </w:rPr>
        <w:t xml:space="preserve"> - Defined mutations produce earlier and often severe phenotypes useful for mechanistic inference Limitation: Sparse, heterogeneous rare-disease literature</w:t>
      </w:r>
    </w:p>
    <w:p>
      <w:pPr>
        <w:numPr>
          <w:ilvl w:val="0"/>
          <w:numId w:val="10"/>
        </w:numPr>
        <w:spacing w:before="0" w:after="60" w:line="276" w:lineRule="auto"/>
      </w:pPr>
      <w:r>
        <w:rPr>
          <w:rFonts w:ascii="Calibri" w:hAnsi="Calibri"/>
          <w:b/>
          <w:color w:val="1F4D78"/>
          <w:sz w:val="19"/>
        </w:rPr>
        <w:t xml:space="preserve">CONTEXT | </w:t>
      </w:r>
      <w:hyperlink r:id="rId17">
        <w:r>
          <w:rPr>
            <w:rFonts w:ascii="Calibri" w:hAnsi="Calibri"/>
            <w:color w:val="2E74B5"/>
            <w:u w:val="single"/>
          </w:rPr>
          <w:t>R010</w:t>
        </w:r>
      </w:hyperlink>
      <w:r>
        <w:rPr>
          <w:rFonts w:ascii="Calibri" w:hAnsi="Calibri"/>
          <w:color w:val="000000"/>
          <w:sz w:val="19"/>
        </w:rPr>
        <w:t xml:space="preserve"> - Cross-model evidence supports a staged disease sequence Limitation: Sequence is a synthesis framework rather than one validated natural-history model</w:t>
      </w:r>
    </w:p>
    <w:p>
      <w:pPr>
        <w:keepNext/>
        <w:spacing w:before="160" w:after="80"/>
      </w:pPr>
      <w:r>
        <w:rPr>
          <w:rFonts w:ascii="Calibri" w:hAnsi="Calibri"/>
          <w:b/>
          <w:color w:val="1F4D78"/>
          <w:sz w:val="22"/>
        </w:rPr>
        <w:t>C024 | Blood biomarkers can index components of vascular injury but currently lack standalone specificity for CAA or brain arteriolosclerosis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1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Current judgment</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Confidence</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Moderate</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Supported interpretation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Endothelial, inflammatory, pericyte, and injury markers can support mechanistic stratification and multimodal models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Not established</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 validated single blood test for either target vessel pathology</w:t>
            </w:r>
          </w:p>
        </w:tc>
      </w:tr>
      <w:tr>
        <w:trPr>
          <w:cantSplit/>
        </w:trPr>
        <w:tc>
          <w:tcPr>
            <w:tcW w:type="dxa" w:w="22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Key limitation</w:t>
            </w:r>
          </w:p>
        </w:tc>
        <w:tc>
          <w:tcPr>
            <w:tcW w:type="dxa" w:w="71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Construct overlap, assay heterogeneity, confounding, and few pathology-linked cohorts</w:t>
            </w:r>
          </w:p>
        </w:tc>
      </w:tr>
      <w:tr>
        <w:trPr>
          <w:cantSplit/>
        </w:trPr>
        <w:tc>
          <w:tcPr>
            <w:tcW w:type="dxa" w:w="22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Decisive next test</w:t>
            </w:r>
          </w:p>
        </w:tc>
        <w:tc>
          <w:tcPr>
            <w:tcW w:type="dxa" w:w="71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Blinded multisite pathology-linked plasma study with prespecified assays, competing pathologies, and incremental-value analysis</w:t>
            </w:r>
          </w:p>
        </w:tc>
      </w:tr>
    </w:tbl>
    <w:p>
      <w:r>
        <w:rPr>
          <w:rFonts w:ascii="Calibri" w:hAnsi="Calibri"/>
          <w:b/>
          <w:color w:val="1F4D78"/>
          <w:sz w:val="21"/>
        </w:rPr>
        <w:t>Evidence trace</w:t>
      </w:r>
    </w:p>
    <w:p>
      <w:pPr>
        <w:numPr>
          <w:ilvl w:val="0"/>
          <w:numId w:val="10"/>
        </w:numPr>
        <w:spacing w:before="0" w:after="60" w:line="276" w:lineRule="auto"/>
      </w:pPr>
      <w:r>
        <w:rPr>
          <w:rFonts w:ascii="Calibri" w:hAnsi="Calibri"/>
          <w:b/>
          <w:color w:val="236B4A"/>
          <w:sz w:val="19"/>
        </w:rPr>
        <w:t xml:space="preserve">SUPPORTS | </w:t>
      </w:r>
      <w:hyperlink r:id="rId73">
        <w:r>
          <w:rPr>
            <w:rFonts w:ascii="Calibri" w:hAnsi="Calibri"/>
            <w:color w:val="2E74B5"/>
            <w:u w:val="single"/>
          </w:rPr>
          <w:t>R058</w:t>
        </w:r>
      </w:hyperlink>
      <w:r>
        <w:rPr>
          <w:rFonts w:ascii="Calibri" w:hAnsi="Calibri"/>
          <w:color w:val="000000"/>
          <w:sz w:val="19"/>
        </w:rPr>
        <w:t xml:space="preserve"> - Multiple biological domains show candidate signals, but clinical validation is immature Limitation: Heterogeneous assays, populations, and reference standards</w:t>
      </w:r>
    </w:p>
    <w:p>
      <w:pPr>
        <w:numPr>
          <w:ilvl w:val="0"/>
          <w:numId w:val="10"/>
        </w:numPr>
        <w:spacing w:before="0" w:after="60" w:line="276" w:lineRule="auto"/>
      </w:pPr>
      <w:r>
        <w:rPr>
          <w:rFonts w:ascii="Calibri" w:hAnsi="Calibri"/>
          <w:b/>
          <w:color w:val="236B4A"/>
          <w:sz w:val="19"/>
        </w:rPr>
        <w:t xml:space="preserve">SUPPORTS | </w:t>
      </w:r>
      <w:hyperlink r:id="rId65">
        <w:r>
          <w:rPr>
            <w:rFonts w:ascii="Calibri" w:hAnsi="Calibri"/>
            <w:color w:val="2E74B5"/>
            <w:u w:val="single"/>
          </w:rPr>
          <w:t>R053</w:t>
        </w:r>
      </w:hyperlink>
      <w:r>
        <w:rPr>
          <w:rFonts w:ascii="Calibri" w:hAnsi="Calibri"/>
          <w:color w:val="000000"/>
          <w:sz w:val="19"/>
        </w:rPr>
        <w:t xml:space="preserve"> - No marker has sufficient specificity and validation for routine standalone CAA diagnosis Limitation: Narrative review; rapidly changing assays</w:t>
      </w:r>
    </w:p>
    <w:p>
      <w:bookmarkStart w:id="181" w:name="section_172"/>
      <w:pPr>
        <w:pStyle w:val="Heading1"/>
      </w:pPr>
      <w:r>
        <w:t>Appendix I. Pivotal Study Atlas</w:t>
      </w:r>
      <w:bookmarkEnd w:id="181"/>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These records distinguish direct full-text extraction from abstract or citation-level coverage. Appraisals are provisional and should be duplicated before publication.</w:t>
      </w:r>
    </w:p>
    <w:p>
      <w:pPr>
        <w:keepNext/>
        <w:spacing w:before="160" w:after="80"/>
      </w:pPr>
      <w:r>
        <w:rPr>
          <w:rFonts w:ascii="Calibri" w:hAnsi="Calibri"/>
          <w:b/>
          <w:color w:val="1F4D78"/>
          <w:sz w:val="22"/>
        </w:rPr>
        <w:t>S001 | Boston v2.0 derivation and validation</w:t>
      </w:r>
    </w:p>
    <w:p>
      <w:r>
        <w:rPr>
          <w:rFonts w:ascii="Calibri" w:hAnsi="Calibri"/>
          <w:i/>
          <w:color w:val="5A626C"/>
          <w:sz w:val="19"/>
        </w:rPr>
        <w:t>multicentre retrospective diagnostic accuracy | N=341 | 10 North American and European academic centres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Age &gt;=50 with spontaneous ICH, cognitive impairment, or TFNE and MRI plus tissue</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v2.0 MRI-clinical criteria</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Neuropathologic CAA assessment from biopsy, hematoma evacuation, or autopsy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Derivation 74.8%/84.6%; temporal validation 92.5%/89.5%; geographic validation 80.2%/81.5%; full-autopsy subset 74.5%/95.0%, AUC 0.848</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Retrospective tissue-selected sample; heterogeneous tissue extent and clinical presentations; not validated as population screening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Strongest for symptomatic referral populations resembling enrolled cases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1">
        <w:r>
          <w:rPr>
            <w:rFonts w:ascii="Calibri" w:hAnsi="Calibri"/>
            <w:color w:val="2E74B5"/>
            <w:u w:val="single"/>
          </w:rPr>
          <w:t>Open source record R006</w:t>
        </w:r>
      </w:hyperlink>
    </w:p>
    <w:p>
      <w:pPr>
        <w:keepNext/>
        <w:spacing w:before="160" w:after="80"/>
      </w:pPr>
      <w:r>
        <w:rPr>
          <w:rFonts w:ascii="Calibri" w:hAnsi="Calibri"/>
          <w:b/>
          <w:color w:val="1F4D78"/>
          <w:sz w:val="22"/>
        </w:rPr>
        <w:t>S002 | Edinburgh CT and APOE model</w:t>
      </w:r>
    </w:p>
    <w:p>
      <w:r>
        <w:rPr>
          <w:rFonts w:ascii="Calibri" w:hAnsi="Calibri"/>
          <w:i/>
          <w:color w:val="5A626C"/>
          <w:sz w:val="19"/>
        </w:rPr>
        <w:t>prospective population-based inception cohort; model development and diagnostic accuracy | N=110 | Lothian, Scotland</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Adults with first-ever CT-diagnosed ICH who died and underwent research autopsy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CT subarachnoid extension, finger-like projections, and APOE e4</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Masked standardized neuropathology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Among 62 lobar ICH cases, 36 had moderate/severe CAA; three-variable model c-statistic 0.92; rule-in specificity 96%</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Only 62 lobar ICH cases; internal bootstrap validation; genotype may not be available; restricted to lobar ICH</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Applicable to acute lobar ICH evaluated by CT; not other CAA presentations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23">
        <w:r>
          <w:rPr>
            <w:rFonts w:ascii="Calibri" w:hAnsi="Calibri"/>
            <w:color w:val="2E74B5"/>
            <w:u w:val="single"/>
          </w:rPr>
          <w:t>Open source record R007</w:t>
        </w:r>
      </w:hyperlink>
    </w:p>
    <w:p>
      <w:pPr>
        <w:keepNext/>
        <w:spacing w:before="160" w:after="80"/>
      </w:pPr>
      <w:r>
        <w:rPr>
          <w:rFonts w:ascii="Calibri" w:hAnsi="Calibri"/>
          <w:b/>
          <w:color w:val="1F4D78"/>
          <w:sz w:val="22"/>
        </w:rPr>
        <w:t>S003 | False-positive probable CAA lesion pathology</w:t>
      </w:r>
    </w:p>
    <w:p>
      <w:r>
        <w:rPr>
          <w:rFonts w:ascii="Calibri" w:hAnsi="Calibri"/>
          <w:i/>
          <w:color w:val="5A626C"/>
          <w:sz w:val="19"/>
        </w:rPr>
        <w:t>MRI-guided lesion-level autopsy case series | N=3 | MGH brain donation program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Three patients meeting probable CAA during life but without CAA on routine neuropathology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Lobar CMB location on in vivo, ex vivo 3T, and selected 7T MRI</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Serial histopathology of targeted lesions and culprit vessels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Seven true CMB correlates were retrieved; culprit vessels showed moderate/severe arteriolosclerosis and no CAA; lesions tended toward juxtacortical/subcortical WM</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Extreme selected case series; only three patients and seven confirmed CMBs; localization hypothesis exploratory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 case-series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Demonstrates counterexamples, not frequency or diagnostic accuracy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9">
        <w:r>
          <w:rPr>
            <w:rFonts w:ascii="Calibri" w:hAnsi="Calibri"/>
            <w:color w:val="2E74B5"/>
            <w:u w:val="single"/>
          </w:rPr>
          <w:t>Open source record R015</w:t>
        </w:r>
      </w:hyperlink>
    </w:p>
    <w:p>
      <w:pPr>
        <w:keepNext/>
        <w:spacing w:before="160" w:after="80"/>
      </w:pPr>
      <w:r>
        <w:rPr>
          <w:rFonts w:ascii="Calibri" w:hAnsi="Calibri"/>
          <w:b/>
          <w:color w:val="1F4D78"/>
          <w:sz w:val="22"/>
        </w:rPr>
        <w:t>S004 | PVS and overlying cortical CAA</w:t>
      </w:r>
    </w:p>
    <w:p>
      <w:r>
        <w:rPr>
          <w:rFonts w:ascii="Calibri" w:hAnsi="Calibri"/>
          <w:i/>
          <w:color w:val="5A626C"/>
          <w:sz w:val="19"/>
        </w:rPr>
        <w:t>spatial ex vivo MRI-histopathology study | N=24 | MGH brain donation program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Autopsy cases with definite CAA and non-CAA controls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In vivo/ex vivo MRI-visible PVS and segmented histologic EPVS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Regional and single-vessel histopathology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EPVS were mainly around WM portions of perforating cortical arterioles; burden associated with CAA severity in overlying cortex; affected vessels showed smooth-muscle loss and vascular amyloid</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19 CAA and 5 controls; selected autopsy material; cross-sectional spatial association cannot establish flow direction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spatial biological plausibility; not standalone diagnostic accuracy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6">
        <w:r>
          <w:rPr>
            <w:rFonts w:ascii="Calibri" w:hAnsi="Calibri"/>
            <w:color w:val="2E74B5"/>
            <w:u w:val="single"/>
          </w:rPr>
          <w:t>Open source record R012</w:t>
        </w:r>
      </w:hyperlink>
    </w:p>
    <w:p>
      <w:pPr>
        <w:keepNext/>
        <w:spacing w:before="160" w:after="80"/>
      </w:pPr>
      <w:r>
        <w:rPr>
          <w:rFonts w:ascii="Calibri" w:hAnsi="Calibri"/>
          <w:b/>
          <w:color w:val="1F4D78"/>
          <w:sz w:val="22"/>
        </w:rPr>
        <w:t>S005 | BBB leakage and inflammation across CAA vessel grades</w:t>
      </w:r>
    </w:p>
    <w:p>
      <w:r>
        <w:rPr>
          <w:rFonts w:ascii="Calibri" w:hAnsi="Calibri"/>
          <w:i/>
          <w:color w:val="5A626C"/>
          <w:sz w:val="19"/>
        </w:rPr>
        <w:t>cross-sectional vessel-level autopsy study | N=7 | MGH</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Seven definite CAA cases: two MRI-targeted severe cases and five consecutive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CAA vessel grade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Immunohistochemistry for fibrin(ogen), SMA, GFAP, and CD68</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Leakage and SMA loss were more frequent at mild amyloid grade than grade 0; all remodeled grade 3/4 vessels showed leakage; inflammation predominated later</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Seven cases; many vessel observations are not independent persons; temporal order inferred from cross-sectional grades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pathology-mechanism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Mechanistic hypothesis generation; not proof that leakage initiates rupture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47">
        <w:r>
          <w:rPr>
            <w:rFonts w:ascii="Calibri" w:hAnsi="Calibri"/>
            <w:color w:val="2E74B5"/>
            <w:u w:val="single"/>
          </w:rPr>
          <w:t>Open source record R013</w:t>
        </w:r>
      </w:hyperlink>
    </w:p>
    <w:p>
      <w:pPr>
        <w:keepNext/>
        <w:spacing w:before="160" w:after="80"/>
      </w:pPr>
      <w:r>
        <w:rPr>
          <w:rFonts w:ascii="Calibri" w:hAnsi="Calibri"/>
          <w:b/>
          <w:color w:val="1F4D78"/>
          <w:sz w:val="22"/>
        </w:rPr>
        <w:t>S006 | ARTS development and pathology testing</w:t>
      </w:r>
    </w:p>
    <w:p>
      <w:r>
        <w:rPr>
          <w:rFonts w:ascii="Calibri" w:hAnsi="Calibri"/>
          <w:i/>
          <w:color w:val="5A626C"/>
          <w:sz w:val="19"/>
        </w:rPr>
        <w:t>prediction model development, translation, and external cohort association | N=119 training; 79 pathology test; 369, 72, and 244 cognitive cohorts | MAP/ROS, MARS, ADNI</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Community-based older adults with ex vivo MRI/pathology plus separate in vivo test and cognitive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WMH, regional FA, age, and sex combined in automated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Semiquantitative autopsy arteriolosclerosis for diagnostic testing</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Mean ex vivo AUC 0.78; in vivo test AUC 0.79 when MRI-death interval &lt;=2.4 years; scan-rescan ICC 0.99; higher score associated with decline in selected cognitive domains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Small pathology samples; performance worsened with longer MRI-death interval; oldest-old cohorts; calibration and clinical thresholds not established</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PROBAST;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Candidate research biomarker; not a clinical diagnostic test</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abstract_plus_full_text_web_extracted</w:t>
      </w:r>
      <w:r>
        <w:rPr>
          <w:rFonts w:ascii="Calibri" w:hAnsi="Calibri"/>
          <w:color w:val="5A626C"/>
          <w:sz w:val="19"/>
        </w:rPr>
        <w:t xml:space="preserve"> | </w:t>
      </w:r>
      <w:hyperlink r:id="rId32">
        <w:r>
          <w:rPr>
            <w:rFonts w:ascii="Calibri" w:hAnsi="Calibri"/>
            <w:color w:val="2E74B5"/>
            <w:u w:val="single"/>
          </w:rPr>
          <w:t>Open source record R017</w:t>
        </w:r>
      </w:hyperlink>
    </w:p>
    <w:p>
      <w:pPr>
        <w:keepNext/>
        <w:spacing w:before="160" w:after="80"/>
      </w:pPr>
      <w:r>
        <w:rPr>
          <w:rFonts w:ascii="Calibri" w:hAnsi="Calibri"/>
          <w:b/>
          <w:color w:val="1F4D78"/>
          <w:sz w:val="22"/>
        </w:rPr>
        <w:t>S007 | ARTS instrumental and clinical validation abstract</w:t>
      </w:r>
    </w:p>
    <w:p>
      <w:r>
        <w:rPr>
          <w:rFonts w:ascii="Calibri" w:hAnsi="Calibri"/>
          <w:i/>
          <w:color w:val="5A626C"/>
          <w:sz w:val="19"/>
        </w:rPr>
        <w:t>conference-supplement abstract | N=20 inter-rater; 41 retest; 20 four-scanner; 156 Rush; 906 ARIC | MarkVCID consortium</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Older adults in multisite technical datasets and Rush/ARIC cognitive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Containerized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Technical repeatability/reproducibility; cognitive trajectories rather than pathology for clinical validation</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ICC 0.9999 inter-rater, 0.996 test-retest, 0.955 inter-scanner; baseline ARTS associated with cognitive level and decline</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Supplement abstract rather than complete report; limited appraisal detail; cognitive association does not revalidate pathology specificity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PROBAST; unclear/high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 technical signal; biological and clinical utility remain separate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33">
        <w:r>
          <w:rPr>
            <w:rFonts w:ascii="Calibri" w:hAnsi="Calibri"/>
            <w:color w:val="2E74B5"/>
            <w:u w:val="single"/>
          </w:rPr>
          <w:t>Open source record R018</w:t>
        </w:r>
      </w:hyperlink>
    </w:p>
    <w:p>
      <w:pPr>
        <w:keepNext/>
        <w:spacing w:before="160" w:after="80"/>
      </w:pPr>
      <w:r>
        <w:rPr>
          <w:rFonts w:ascii="Calibri" w:hAnsi="Calibri"/>
          <w:b/>
          <w:color w:val="1F4D78"/>
          <w:sz w:val="22"/>
        </w:rPr>
        <w:t>S008 | ARTS vascular risk and incident outcomes</w:t>
      </w:r>
    </w:p>
    <w:p>
      <w:r>
        <w:rPr>
          <w:rFonts w:ascii="Calibri" w:hAnsi="Calibri"/>
          <w:i/>
          <w:color w:val="5A626C"/>
          <w:sz w:val="19"/>
        </w:rPr>
        <w:t>longitudinal observational cohort | N=1226 | MAP, MARS, AA Core, LATC, and ROS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Diverse older adults without dementia at baseline</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Baseline ARTS score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Standard cohort adjudication of MCI, dementia, stroke, and vascular risks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Higher ARTS score was associated with incident MCI, dementia, stroke, and several vascular risk factors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Observational associations; score includes age/sex and MRI injury features; outcome association does not prove arteriolosclerosis specificity or treatment responsiveness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cohort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prognostic association in older adults, not clinical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58">
        <w:r>
          <w:rPr>
            <w:rFonts w:ascii="Calibri" w:hAnsi="Calibri"/>
            <w:color w:val="2E74B5"/>
            <w:u w:val="single"/>
          </w:rPr>
          <w:t>Open source record R019</w:t>
        </w:r>
      </w:hyperlink>
    </w:p>
    <w:p>
      <w:pPr>
        <w:keepNext/>
        <w:spacing w:before="160" w:after="80"/>
      </w:pPr>
      <w:r>
        <w:rPr>
          <w:rFonts w:ascii="Calibri" w:hAnsi="Calibri"/>
          <w:b/>
          <w:color w:val="1F4D78"/>
          <w:sz w:val="22"/>
        </w:rPr>
        <w:t>S009 | Arteriolosclerosis and hippocampal sclerosis of ageing</w:t>
      </w:r>
    </w:p>
    <w:p>
      <w:r>
        <w:rPr>
          <w:rFonts w:ascii="Calibri" w:hAnsi="Calibri"/>
          <w:i/>
          <w:color w:val="5A626C"/>
          <w:sz w:val="19"/>
        </w:rPr>
        <w:t>multi-cohort autopsy association with digital pathology subset | N=2018 | Three autopsy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Autopsied adults age &gt;=80 across UK-ADC, NACC, and Nun Study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Regional semiquantitative arteriolosclerosis and vessel morphology</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Neuropathologic HS-ageing</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226 HS-ageing cases and 1792 controls; arteriolosclerosis across multiple regions associated with HS-ageing; digital subset showed thicker/larger SMA-positive arterioles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Autopsy selection; historical semiquantitative ratings; cross-sectional association; HS-ageing terminology predates current LATE framework</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autopsy-cohort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Strong association evidence; causal direction unresolved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54">
        <w:r>
          <w:rPr>
            <w:rFonts w:ascii="Calibri" w:hAnsi="Calibri"/>
            <w:color w:val="2E74B5"/>
            <w:u w:val="single"/>
          </w:rPr>
          <w:t>Open source record R033</w:t>
        </w:r>
      </w:hyperlink>
    </w:p>
    <w:p>
      <w:pPr>
        <w:keepNext/>
        <w:spacing w:before="160" w:after="80"/>
      </w:pPr>
      <w:r>
        <w:rPr>
          <w:rFonts w:ascii="Calibri" w:hAnsi="Calibri"/>
          <w:b/>
          <w:color w:val="1F4D78"/>
          <w:sz w:val="22"/>
        </w:rPr>
        <w:t>S010 | Entorhinal vessel density and proteinopathy</w:t>
      </w:r>
    </w:p>
    <w:p>
      <w:r>
        <w:rPr>
          <w:rFonts w:ascii="Calibri" w:hAnsi="Calibri"/>
          <w:i/>
          <w:color w:val="5A626C"/>
          <w:sz w:val="19"/>
        </w:rPr>
        <w:t>ex vivo 7T MRI and histopathology spatial association | N=12 | MGH</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Twelve human postmortem medial temporal lobe samples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Manually labelled vessels on 100-micron ex vivo MRI</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Semiquantitative p-tau and TDP-43 pathology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Perirhinal cortex was more vascularized than entorhinal cortex; vessel density correlated with p-tau and TDP-43; severe preclinical tau regions had higher density</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Twelve cases; cross-sectional; manual tracing; higher density can reflect baseline anatomy, remodeling, or selection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high</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Exploratory spatial biology, not a diagnostic biomarker</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60">
        <w:r>
          <w:rPr>
            <w:rFonts w:ascii="Calibri" w:hAnsi="Calibri"/>
            <w:color w:val="2E74B5"/>
            <w:u w:val="single"/>
          </w:rPr>
          <w:t>Open source record R035</w:t>
        </w:r>
      </w:hyperlink>
    </w:p>
    <w:p>
      <w:pPr>
        <w:keepNext/>
        <w:spacing w:before="160" w:after="80"/>
      </w:pPr>
      <w:r>
        <w:rPr>
          <w:rFonts w:ascii="Calibri" w:hAnsi="Calibri"/>
          <w:b/>
          <w:color w:val="1F4D78"/>
          <w:sz w:val="22"/>
        </w:rPr>
        <w:t>S011 | Deep-learning quantitative histopathology models</w:t>
      </w:r>
    </w:p>
    <w:p>
      <w:r>
        <w:rPr>
          <w:rFonts w:ascii="Calibri" w:hAnsi="Calibri"/>
          <w:i/>
          <w:color w:val="5A626C"/>
          <w:sz w:val="19"/>
        </w:rPr>
        <w:t>methods development and validation | N=47 | Multiple autopsy sources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Digitized slides from 47 AD, CAA, and control autopsy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Six CNN models for plaques, vascular amyloid, iron/calcium, astrocytes, microglia, and fibrin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Three expert human raters and prior semiquantitative scores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Validation was good to excellent for marker models and enabled continuous mixed-effects analyses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Training data small and staining/platform specific; human annotations are imperfect reference; external laboratory transport not established</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methods-validation prompts;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Research quantification workflow, not autonomous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full_text_extracted</w:t>
      </w:r>
      <w:r>
        <w:rPr>
          <w:rFonts w:ascii="Calibri" w:hAnsi="Calibri"/>
          <w:color w:val="5A626C"/>
          <w:sz w:val="19"/>
        </w:rPr>
        <w:t xml:space="preserve"> | </w:t>
      </w:r>
      <w:hyperlink r:id="rId74">
        <w:r>
          <w:rPr>
            <w:rFonts w:ascii="Calibri" w:hAnsi="Calibri"/>
            <w:color w:val="2E74B5"/>
            <w:u w:val="single"/>
          </w:rPr>
          <w:t>Open source record R016</w:t>
        </w:r>
      </w:hyperlink>
    </w:p>
    <w:p>
      <w:pPr>
        <w:keepNext/>
        <w:spacing w:before="160" w:after="80"/>
      </w:pPr>
      <w:r>
        <w:rPr>
          <w:rFonts w:ascii="Calibri" w:hAnsi="Calibri"/>
          <w:b/>
          <w:color w:val="1F4D78"/>
          <w:sz w:val="22"/>
        </w:rPr>
        <w:t>S012 | Boston v2.0 in ROSMAP community sample</w:t>
      </w:r>
    </w:p>
    <w:p>
      <w:r>
        <w:rPr>
          <w:rFonts w:ascii="Calibri" w:hAnsi="Calibri"/>
          <w:i/>
          <w:color w:val="5A626C"/>
          <w:sz w:val="19"/>
        </w:rPr>
        <w:t>community-based MRI-autopsy diagnostic accuracy | N=134 | Longitudinal community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Deceased ROSMAP participants with in vivo 3T MRI and detailed autopsy</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v1.0, v1.5, and v2.0</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Moderate-to-severe autopsy CAA</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v2.0 sensitivity 38.8%, specificity 83.5%, PPV 57.6%, NPV 70.3%; cortical CMB count distinguished true from false positives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Only 134 of a much larger autopsy cohort had usable in vivo MRI; older selected sample; interval and sequence limitations</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some concerns/high selection</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Directly relevant to community-dwelling older adults; not identical to clinical referrals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50">
        <w:r>
          <w:rPr>
            <w:rFonts w:ascii="Calibri" w:hAnsi="Calibri"/>
            <w:color w:val="2E74B5"/>
            <w:u w:val="single"/>
          </w:rPr>
          <w:t>Open source record R051</w:t>
        </w:r>
      </w:hyperlink>
    </w:p>
    <w:p>
      <w:pPr>
        <w:keepNext/>
        <w:spacing w:before="160" w:after="80"/>
      </w:pPr>
      <w:r>
        <w:rPr>
          <w:rFonts w:ascii="Calibri" w:hAnsi="Calibri"/>
          <w:b/>
          <w:color w:val="1F4D78"/>
          <w:sz w:val="22"/>
        </w:rPr>
        <w:t>S013 | Boston v2.0 without hemorrhagic presentation</w:t>
      </w:r>
    </w:p>
    <w:p>
      <w:r>
        <w:rPr>
          <w:rFonts w:ascii="Calibri" w:hAnsi="Calibri"/>
          <w:i/>
          <w:color w:val="5A626C"/>
          <w:sz w:val="19"/>
        </w:rPr>
        <w:t>MRI-autopsy diagnostic accuracy | N=54 | Mayo Clinic Study of Aging and ADRC</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Community and memory-clinic participants without symptomatic ICH</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Boston v1.5 and v2.0</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Moderate-to-severe lobar autopsy CAA</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v2.0 sensitivity 28.6%, specificity 65.3%, AUC 0.47; any CAA sensitivity 75.0%, specificity 38.5%</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Small sample and wide confidence intervals; spectrum differs from derivation population; MRI-to-autopsy interval</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high/imprecise</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Highly relevant warning for asymptomatic or cognitive-only use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51">
        <w:r>
          <w:rPr>
            <w:rFonts w:ascii="Calibri" w:hAnsi="Calibri"/>
            <w:color w:val="2E74B5"/>
            <w:u w:val="single"/>
          </w:rPr>
          <w:t>Open source record R052</w:t>
        </w:r>
      </w:hyperlink>
    </w:p>
    <w:p>
      <w:pPr>
        <w:keepNext/>
        <w:spacing w:before="160" w:after="80"/>
      </w:pPr>
      <w:r>
        <w:rPr>
          <w:rFonts w:ascii="Calibri" w:hAnsi="Calibri"/>
          <w:b/>
          <w:color w:val="1F4D78"/>
          <w:sz w:val="22"/>
        </w:rPr>
        <w:t>S014 | CAA-SVD burden score development</w:t>
      </w:r>
    </w:p>
    <w:p>
      <w:r>
        <w:rPr>
          <w:rFonts w:ascii="Calibri" w:hAnsi="Calibri"/>
          <w:i/>
          <w:color w:val="5A626C"/>
          <w:sz w:val="19"/>
        </w:rPr>
        <w:t>observational construct-validation study | N=not extracted | single/referral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with CAA and MRI markers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Ordinal composite of lobar CMBs, cSS, CSO-PVS, and WMH</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Clinical diagnosis/pathology variables depending analysis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Composite associated with clinically meaningful disease features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Thresholded equal-weight components; etiologic overlap; not a diagnostic criterion; detailed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cohort prompts;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Burden description/prognosis only</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citation_only</w:t>
      </w:r>
      <w:r>
        <w:rPr>
          <w:rFonts w:ascii="Calibri" w:hAnsi="Calibri"/>
          <w:color w:val="5A626C"/>
          <w:sz w:val="19"/>
        </w:rPr>
        <w:t xml:space="preserve"> | </w:t>
      </w:r>
      <w:hyperlink r:id="rId62">
        <w:r>
          <w:rPr>
            <w:rFonts w:ascii="Calibri" w:hAnsi="Calibri"/>
            <w:color w:val="2E74B5"/>
            <w:u w:val="single"/>
          </w:rPr>
          <w:t>Open source record R028</w:t>
        </w:r>
      </w:hyperlink>
    </w:p>
    <w:p>
      <w:pPr>
        <w:keepNext/>
        <w:spacing w:before="160" w:after="80"/>
      </w:pPr>
      <w:r>
        <w:rPr>
          <w:rFonts w:ascii="Calibri" w:hAnsi="Calibri"/>
          <w:b/>
          <w:color w:val="1F4D78"/>
          <w:sz w:val="22"/>
        </w:rPr>
        <w:t>S015 | Clinicoradiologic criteria for CAA-related inflammation</w:t>
      </w:r>
    </w:p>
    <w:p>
      <w:r>
        <w:rPr>
          <w:rFonts w:ascii="Calibri" w:hAnsi="Calibri"/>
          <w:i/>
          <w:color w:val="5A626C"/>
          <w:sz w:val="19"/>
        </w:rPr>
        <w:t>retrospective diagnostic accuracy | N=not extracted | specialist referral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evaluated for suspected CAA-related inflammation</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Clinicoradiologic probable/possible CAA-ri criteria</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Biopsy or clinicoradiologic follow-up</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Probable criteria showed useful sensitivity and specificity in the reported validation</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Selected rare syndrome; incorporation and verification biases possible; full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Specialist evaluation of subacute inflammatory presentations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citation_only</w:t>
      </w:r>
      <w:r>
        <w:rPr>
          <w:rFonts w:ascii="Calibri" w:hAnsi="Calibri"/>
          <w:color w:val="5A626C"/>
          <w:sz w:val="19"/>
        </w:rPr>
        <w:t xml:space="preserve"> | </w:t>
      </w:r>
      <w:hyperlink r:id="rId24">
        <w:r>
          <w:rPr>
            <w:rFonts w:ascii="Calibri" w:hAnsi="Calibri"/>
            <w:color w:val="2E74B5"/>
            <w:u w:val="single"/>
          </w:rPr>
          <w:t>Open source record R008</w:t>
        </w:r>
      </w:hyperlink>
    </w:p>
    <w:p>
      <w:pPr>
        <w:keepNext/>
        <w:spacing w:before="160" w:after="80"/>
      </w:pPr>
      <w:r>
        <w:rPr>
          <w:rFonts w:ascii="Calibri" w:hAnsi="Calibri"/>
          <w:b/>
          <w:color w:val="1F4D78"/>
          <w:sz w:val="22"/>
        </w:rPr>
        <w:t>S016 | Small vessel disease and medial temporal proteinopathies</w:t>
      </w:r>
    </w:p>
    <w:p>
      <w:r>
        <w:rPr>
          <w:rFonts w:ascii="Calibri" w:hAnsi="Calibri"/>
          <w:i/>
          <w:color w:val="5A626C"/>
          <w:sz w:val="19"/>
        </w:rPr>
        <w:t>quantitative autopsy study | N=152 | autopsy cohort</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Human medial temporal lobe autopsy cases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AI and manual vascular pathology measures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Regional AD-related and TDP-43 pathology measures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Study maps coexisting vascular and protein pathology across medial temporal regions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Cross-sectional postmortem design; causal order cannot be determined; complete result extraction pending</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pathology-spatial prompts; not rated</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Mixed-pathology mapping rather than antemortem diagnosis</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56">
        <w:r>
          <w:rPr>
            <w:rFonts w:ascii="Calibri" w:hAnsi="Calibri"/>
            <w:color w:val="2E74B5"/>
            <w:u w:val="single"/>
          </w:rPr>
          <w:t>Open source record R050</w:t>
        </w:r>
      </w:hyperlink>
    </w:p>
    <w:p>
      <w:pPr>
        <w:keepNext/>
        <w:spacing w:before="160" w:after="80"/>
      </w:pPr>
      <w:r>
        <w:rPr>
          <w:rFonts w:ascii="Calibri" w:hAnsi="Calibri"/>
          <w:b/>
          <w:color w:val="1F4D78"/>
          <w:sz w:val="22"/>
        </w:rPr>
        <w:t>S017 | MarkVCID multisite CVR validation</w:t>
      </w:r>
    </w:p>
    <w:p>
      <w:r>
        <w:rPr>
          <w:rFonts w:ascii="Calibri" w:hAnsi="Calibri"/>
          <w:i/>
          <w:color w:val="5A626C"/>
          <w:sz w:val="19"/>
        </w:rPr>
        <w:t>predefined multisite validation study | N=263 | Three US research sites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Older adults enrolled at three MarkVCID analysis sites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BOLD MRI CVR during 5% carbon-dioxide inhalation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Concurrent MoCA and executive-function item-response score</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CVR was positively associated with MoCA at every site and with executive function in the combined analysis.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Association with cognition is not pathology validation, diagnostic accuracy, or proof of etiologic specificity; gas challenge limits scalability.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QUIPS/biomarker validation;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a physiological VCID biomarker, not a CAA- or arteriolosclerosis-specific test.</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abstract_plus_web_extracted</w:t>
      </w:r>
      <w:r>
        <w:rPr>
          <w:rFonts w:ascii="Calibri" w:hAnsi="Calibri"/>
          <w:color w:val="5A626C"/>
          <w:sz w:val="19"/>
        </w:rPr>
        <w:t xml:space="preserve"> | </w:t>
      </w:r>
      <w:hyperlink r:id="rId66">
        <w:r>
          <w:rPr>
            <w:rFonts w:ascii="Calibri" w:hAnsi="Calibri"/>
            <w:color w:val="2E74B5"/>
            <w:u w:val="single"/>
          </w:rPr>
          <w:t>Open source record R054</w:t>
        </w:r>
      </w:hyperlink>
    </w:p>
    <w:p>
      <w:pPr>
        <w:keepNext/>
        <w:spacing w:before="160" w:after="80"/>
      </w:pPr>
      <w:r>
        <w:rPr>
          <w:rFonts w:ascii="Calibri" w:hAnsi="Calibri"/>
          <w:b/>
          <w:color w:val="1F4D78"/>
          <w:sz w:val="22"/>
        </w:rPr>
        <w:t>S018 | Mild Stroke Study 3 longitudinal CVR</w:t>
      </w:r>
    </w:p>
    <w:p>
      <w:r>
        <w:rPr>
          <w:rFonts w:ascii="Calibri" w:hAnsi="Calibri"/>
          <w:i/>
          <w:color w:val="5A626C"/>
          <w:sz w:val="19"/>
        </w:rPr>
        <w:t>prospective observational cohort | N=163 follow-up analyses | Edinburgh/Lothian stroke services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Patients with minor ischemic stroke enriched for MRI SVD features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Baseline BOLD CVR during 6% carbon-dioxide challenge</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One-year quantitative MRI progression and clinical outcomes</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Lower baseline CVR in normal-appearing tissue predicted greater WMH and PVS progression after adjustment; CVR was not associated with 1-year clinical outcomes.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Stroke-enriched single-region cohort, one-year horizon, multiple tissue/outcome analyses, and no direct vessel-wall pathology.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QUIPS;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temporal prediction of tissue injury in SVD but not etiologic classification.</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67">
        <w:r>
          <w:rPr>
            <w:rFonts w:ascii="Calibri" w:hAnsi="Calibri"/>
            <w:color w:val="2E74B5"/>
            <w:u w:val="single"/>
          </w:rPr>
          <w:t>Open source record R060</w:t>
        </w:r>
      </w:hyperlink>
    </w:p>
    <w:p>
      <w:pPr>
        <w:keepNext/>
        <w:spacing w:before="160" w:after="80"/>
      </w:pPr>
      <w:r>
        <w:rPr>
          <w:rFonts w:ascii="Calibri" w:hAnsi="Calibri"/>
          <w:b/>
          <w:color w:val="1F4D78"/>
          <w:sz w:val="22"/>
        </w:rPr>
        <w:t>S019 | CAA-ri marker meta-analysis</w:t>
      </w:r>
    </w:p>
    <w:p>
      <w:r>
        <w:rPr>
          <w:rFonts w:ascii="Calibri" w:hAnsi="Calibri"/>
          <w:i/>
          <w:color w:val="5A626C"/>
          <w:sz w:val="19"/>
        </w:rPr>
        <w:t>systematic review and random-effects meta-analysis | N=378 | Mostly retrospective specialist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Probable or definite CAA-ri across 21 cohorts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Clinical, MRI, genetic, and CSF features</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Probable/definite CAA-ri with variable biopsy availability</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Cognitive decline occurred in 70%; FLAIR white-matter lesions in 98%; lobar microbleeds in 96%; cSS in 51%; estimates for many features were heterogeneous.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Predominantly retrospective reports, variable definitions and biopsy verification, selection bias, and high heterogeneity.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AMSTAR-2/QUADAS concepts; high or unclear in component evidence</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Describes the recognized CAA-ri phenotype; does not by itself validate a treatment rule.</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abstract_extracted</w:t>
      </w:r>
      <w:r>
        <w:rPr>
          <w:rFonts w:ascii="Calibri" w:hAnsi="Calibri"/>
          <w:color w:val="5A626C"/>
          <w:sz w:val="19"/>
        </w:rPr>
        <w:t xml:space="preserve"> | </w:t>
      </w:r>
      <w:hyperlink r:id="rId68">
        <w:r>
          <w:rPr>
            <w:rFonts w:ascii="Calibri" w:hAnsi="Calibri"/>
            <w:color w:val="2E74B5"/>
            <w:u w:val="single"/>
          </w:rPr>
          <w:t>Open source record R057</w:t>
        </w:r>
      </w:hyperlink>
    </w:p>
    <w:p>
      <w:pPr>
        <w:keepNext/>
        <w:spacing w:before="160" w:after="80"/>
      </w:pPr>
      <w:r>
        <w:rPr>
          <w:rFonts w:ascii="Calibri" w:hAnsi="Calibri"/>
          <w:b/>
          <w:color w:val="1F4D78"/>
          <w:sz w:val="22"/>
        </w:rPr>
        <w:t>S020 | Regional amyloid PET meta-analysis</w:t>
      </w:r>
    </w:p>
    <w:p>
      <w:r>
        <w:rPr>
          <w:rFonts w:ascii="Calibri" w:hAnsi="Calibri"/>
          <w:i/>
          <w:color w:val="5A626C"/>
          <w:sz w:val="19"/>
        </w:rPr>
        <w:t>systematic review and meta-analysis | N=16 cohorts; 271 CAA participants | Prospective observational imaging cohorts</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CAA, AD, hypertensive ICH, and healthy-control groups</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Global and regional amyloid PET retention</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Predominantly clinical CAA criteria; limited pathology correlation</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CAA showed lower global retention than AD, higher retention than hypertensive ICH/controls, and relatively higher occipital-to-global uptake than AD.</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Most CAA cases met probable clinical criteria rather than pathology confirmation; only two tracers dominated; threshold and timing heterogeneity.</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AMSTAR-2/diagnostic applicability;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Supports regional signal as a research candidate, not a standalone diagnostic threshold.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70">
        <w:r>
          <w:rPr>
            <w:rFonts w:ascii="Calibri" w:hAnsi="Calibri"/>
            <w:color w:val="2E74B5"/>
            <w:u w:val="single"/>
          </w:rPr>
          <w:t>Open source record R059</w:t>
        </w:r>
      </w:hyperlink>
    </w:p>
    <w:p>
      <w:pPr>
        <w:keepNext/>
        <w:spacing w:before="160" w:after="80"/>
      </w:pPr>
      <w:r>
        <w:rPr>
          <w:rFonts w:ascii="Calibri" w:hAnsi="Calibri"/>
          <w:b/>
          <w:color w:val="1F4D78"/>
          <w:sz w:val="22"/>
        </w:rPr>
        <w:t>S021 | CAA-ri versus non-inflammatory CAA spectrum</w:t>
      </w:r>
    </w:p>
    <w:p>
      <w:r>
        <w:rPr>
          <w:rFonts w:ascii="Calibri" w:hAnsi="Calibri"/>
          <w:i/>
          <w:color w:val="5A626C"/>
          <w:sz w:val="19"/>
        </w:rPr>
        <w:t>retrospective comparative cohort | N=195 (37 CAA-ri; 158 CAA) | Specialist referral cohort</w:t>
      </w:r>
    </w:p>
    <w:p>
      <w:pPr>
        <w:spacing w:before="0" w:after="40" w:line="269" w:lineRule="auto"/>
        <w:ind w:left="259"/>
      </w:pPr>
      <w:r>
        <w:rPr>
          <w:rFonts w:ascii="Calibri" w:hAnsi="Calibri"/>
          <w:b/>
          <w:color w:val="203748"/>
          <w:sz w:val="19"/>
        </w:rPr>
        <w:t xml:space="preserve">Population: </w:t>
      </w:r>
      <w:r>
        <w:rPr>
          <w:rFonts w:ascii="Calibri" w:hAnsi="Calibri"/>
          <w:color w:val="000000"/>
          <w:sz w:val="19"/>
        </w:rPr>
        <w:t>CAA-ri compared with non-inflammatory sporadic CAA</w:t>
      </w:r>
    </w:p>
    <w:p>
      <w:pPr>
        <w:spacing w:before="0" w:after="40" w:line="269" w:lineRule="auto"/>
        <w:ind w:left="259"/>
      </w:pPr>
      <w:r>
        <w:rPr>
          <w:rFonts w:ascii="Calibri" w:hAnsi="Calibri"/>
          <w:b/>
          <w:color w:val="203748"/>
          <w:sz w:val="19"/>
        </w:rPr>
        <w:t xml:space="preserve">Index/exposure: </w:t>
      </w:r>
      <w:r>
        <w:rPr>
          <w:rFonts w:ascii="Calibri" w:hAnsi="Calibri"/>
          <w:color w:val="000000"/>
          <w:sz w:val="19"/>
        </w:rPr>
        <w:t>Clinical and standardized MRI feature review</w:t>
      </w:r>
    </w:p>
    <w:p>
      <w:pPr>
        <w:spacing w:before="0" w:after="40" w:line="269" w:lineRule="auto"/>
        <w:ind w:left="259"/>
      </w:pPr>
      <w:r>
        <w:rPr>
          <w:rFonts w:ascii="Calibri" w:hAnsi="Calibri"/>
          <w:b/>
          <w:color w:val="203748"/>
          <w:sz w:val="19"/>
        </w:rPr>
        <w:t xml:space="preserve">Reference: </w:t>
      </w:r>
      <w:r>
        <w:rPr>
          <w:rFonts w:ascii="Calibri" w:hAnsi="Calibri"/>
          <w:color w:val="000000"/>
          <w:sz w:val="19"/>
        </w:rPr>
        <w:t>Clinical CAA-ri classification; pathology available only in a subset</w:t>
      </w:r>
    </w:p>
    <w:p>
      <w:pPr>
        <w:spacing w:before="0" w:after="40" w:line="269" w:lineRule="auto"/>
        <w:ind w:left="259"/>
      </w:pPr>
      <w:r>
        <w:rPr>
          <w:rFonts w:ascii="Calibri" w:hAnsi="Calibri"/>
          <w:b/>
          <w:color w:val="203748"/>
          <w:sz w:val="19"/>
        </w:rPr>
        <w:t xml:space="preserve">Key result: </w:t>
      </w:r>
      <w:r>
        <w:rPr>
          <w:rFonts w:ascii="Calibri" w:hAnsi="Calibri"/>
          <w:color w:val="000000"/>
          <w:sz w:val="19"/>
        </w:rPr>
        <w:t>Parenchymal hyperintensity, sulcal hyperintensity, and gyral swelling were far more common in CAA-ri than non-inflammatory CAA; CAA-ri also had more numerous lobar microbleeds.</w:t>
      </w:r>
    </w:p>
    <w:p>
      <w:pPr>
        <w:spacing w:before="0" w:after="40" w:line="269" w:lineRule="auto"/>
        <w:ind w:left="259"/>
      </w:pPr>
      <w:r>
        <w:rPr>
          <w:rFonts w:ascii="Calibri" w:hAnsi="Calibri"/>
          <w:b/>
          <w:color w:val="203748"/>
          <w:sz w:val="19"/>
        </w:rPr>
        <w:t xml:space="preserve">Limitations: </w:t>
      </w:r>
      <w:r>
        <w:rPr>
          <w:rFonts w:ascii="Calibri" w:hAnsi="Calibri"/>
          <w:color w:val="000000"/>
          <w:sz w:val="19"/>
        </w:rPr>
        <w:t>Retrospective referral sample, modest CAA-ri count, incorporation/circularity risk, and incomplete pathology verification.</w:t>
      </w:r>
    </w:p>
    <w:p>
      <w:pPr>
        <w:spacing w:before="0" w:after="40" w:line="269" w:lineRule="auto"/>
        <w:ind w:left="259"/>
      </w:pPr>
      <w:r>
        <w:rPr>
          <w:rFonts w:ascii="Calibri" w:hAnsi="Calibri"/>
          <w:b/>
          <w:color w:val="203748"/>
          <w:sz w:val="19"/>
        </w:rPr>
        <w:t xml:space="preserve">Appraisal: </w:t>
      </w:r>
      <w:r>
        <w:rPr>
          <w:rFonts w:ascii="Calibri" w:hAnsi="Calibri"/>
          <w:color w:val="000000"/>
          <w:sz w:val="19"/>
        </w:rPr>
        <w:t>QUADAS-3 concepts; some concerns</w:t>
      </w:r>
    </w:p>
    <w:p>
      <w:pPr>
        <w:spacing w:before="0" w:after="40" w:line="269" w:lineRule="auto"/>
        <w:ind w:left="259"/>
      </w:pPr>
      <w:r>
        <w:rPr>
          <w:rFonts w:ascii="Calibri" w:hAnsi="Calibri"/>
          <w:b/>
          <w:color w:val="203748"/>
          <w:sz w:val="19"/>
        </w:rPr>
        <w:t xml:space="preserve">Applicability: </w:t>
      </w:r>
      <w:r>
        <w:rPr>
          <w:rFonts w:ascii="Calibri" w:hAnsi="Calibri"/>
          <w:color w:val="000000"/>
          <w:sz w:val="19"/>
        </w:rPr>
        <w:t>Useful for differential recognition in specialist settings; external prospective accuracy remains needed.</w:t>
      </w:r>
    </w:p>
    <w:p>
      <w:pPr>
        <w:spacing w:before="0" w:after="40" w:line="269" w:lineRule="auto"/>
        <w:ind w:left="259"/>
      </w:pPr>
      <w:r>
        <w:rPr>
          <w:rFonts w:ascii="Calibri" w:hAnsi="Calibri"/>
          <w:b/>
          <w:color w:val="203748"/>
          <w:sz w:val="19"/>
        </w:rPr>
        <w:t xml:space="preserve">Extraction: </w:t>
      </w:r>
      <w:r>
        <w:rPr>
          <w:rFonts w:ascii="Calibri" w:hAnsi="Calibri"/>
          <w:color w:val="000000"/>
          <w:sz w:val="19"/>
        </w:rPr>
        <w:t>full_text_web_extracted</w:t>
      </w:r>
      <w:r>
        <w:rPr>
          <w:rFonts w:ascii="Calibri" w:hAnsi="Calibri"/>
          <w:color w:val="5A626C"/>
          <w:sz w:val="19"/>
        </w:rPr>
        <w:t xml:space="preserve"> | </w:t>
      </w:r>
      <w:hyperlink r:id="rId69">
        <w:r>
          <w:rPr>
            <w:rFonts w:ascii="Calibri" w:hAnsi="Calibri"/>
            <w:color w:val="2E74B5"/>
            <w:u w:val="single"/>
          </w:rPr>
          <w:t>Open source record R061</w:t>
        </w:r>
      </w:hyperlink>
    </w:p>
    <w:p>
      <w:bookmarkStart w:id="182" w:name="section_173"/>
      <w:pPr>
        <w:pStyle w:val="Heading1"/>
      </w:pPr>
      <w:r>
        <w:t>Appendix J. Criteria, Biomarker, and Tool Registry</w:t>
      </w:r>
      <w:bookmarkEnd w:id="182"/>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A tool is useful only for a stated job. This registry separates description, diagnosis, burden, prognosis, technical measurement, and research enrichment.</w:t>
      </w:r>
    </w:p>
    <w:p>
      <w:pPr>
        <w:keepNext/>
        <w:spacing w:before="160" w:after="80"/>
      </w:pPr>
      <w:r>
        <w:rPr>
          <w:rFonts w:ascii="Calibri" w:hAnsi="Calibri"/>
          <w:b/>
          <w:color w:val="1F4D78"/>
          <w:sz w:val="22"/>
        </w:rPr>
        <w:t>T001 | STRIVE-1</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description and harmonization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 manifestations of cSVD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Multisequence structural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Standard names and definitions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Widely adopted terminology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Consensus and measurement reliability rather than etiologic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Established common language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Phenotype terms may be misused as disease labels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descriptive standard</w:t>
            </w:r>
          </w:p>
        </w:tc>
      </w:tr>
    </w:tbl>
    <w:p>
      <w:r>
        <w:rPr>
          <w:rFonts w:ascii="Calibri" w:hAnsi="Calibri"/>
          <w:b/>
          <w:color w:val="203748"/>
          <w:sz w:val="19"/>
        </w:rPr>
        <w:t xml:space="preserve">Key sources: </w:t>
      </w:r>
      <w:hyperlink r:id="rId22">
        <w:r>
          <w:rPr>
            <w:rFonts w:ascii="Calibri" w:hAnsi="Calibri"/>
            <w:color w:val="2E74B5"/>
            <w:u w:val="single"/>
          </w:rPr>
          <w:t>R002</w:t>
        </w:r>
      </w:hyperlink>
    </w:p>
    <w:p>
      <w:pPr>
        <w:keepNext/>
        <w:spacing w:before="160" w:after="80"/>
      </w:pPr>
      <w:r>
        <w:rPr>
          <w:rFonts w:ascii="Calibri" w:hAnsi="Calibri"/>
          <w:b/>
          <w:color w:val="1F4D78"/>
          <w:sz w:val="22"/>
        </w:rPr>
        <w:t>T002 | STRIVE-2</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description, acquisition, and emerging markers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Visible and quantitative neuroimaging features of cSVD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with sequence-dependent requirements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Updated definitions and recommendations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 update; feature-specific validation varies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Feature-specific imaging/pathology and reliability evidence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Phenotype-first framework and updated methods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Does not diagnose CAA or arteriolosclerosis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standard</w:t>
            </w:r>
          </w:p>
        </w:tc>
      </w:tr>
    </w:tbl>
    <w:p>
      <w:r>
        <w:rPr>
          <w:rFonts w:ascii="Calibri" w:hAnsi="Calibri"/>
          <w:b/>
          <w:color w:val="203748"/>
          <w:sz w:val="19"/>
        </w:rPr>
        <w:t xml:space="preserve">Key sources: </w:t>
      </w:r>
      <w:hyperlink r:id="rId15">
        <w:r>
          <w:rPr>
            <w:rFonts w:ascii="Calibri" w:hAnsi="Calibri"/>
            <w:color w:val="2E74B5"/>
            <w:u w:val="single"/>
          </w:rPr>
          <w:t>R001</w:t>
        </w:r>
      </w:hyperlink>
    </w:p>
    <w:p>
      <w:pPr>
        <w:keepNext/>
        <w:spacing w:before="160" w:after="80"/>
      </w:pPr>
      <w:r>
        <w:rPr>
          <w:rFonts w:ascii="Calibri" w:hAnsi="Calibri"/>
          <w:b/>
          <w:color w:val="1F4D78"/>
          <w:sz w:val="22"/>
        </w:rPr>
        <w:t>T003 | Boston criteria v2.0</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Estimate likelihood of sporadic CAA in adults &gt;=50 with relevant clinical presentation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causing clinical/imaging phenotype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presentation, MRI hemorrhagic markers, absence of deep hemorrhagic lesions, selected WM features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Possible/probable CAA categories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in symptomatic temporal/geographic cohorts; lower performance in community/nonhemorrhagic samples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Neuropathologic CAA</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Best established noninvasive CAA framework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Spectrum dependence; mimics; sequence sensitivity; not population screening</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and research classification with specialist interpretation</w:t>
            </w:r>
          </w:p>
        </w:tc>
      </w:tr>
    </w:tbl>
    <w:p>
      <w:r>
        <w:rPr>
          <w:rFonts w:ascii="Calibri" w:hAnsi="Calibri"/>
          <w:b/>
          <w:color w:val="203748"/>
          <w:sz w:val="19"/>
        </w:rPr>
        <w:t xml:space="preserve">Key sources: </w:t>
      </w:r>
      <w:hyperlink r:id="rId21">
        <w:r>
          <w:rPr>
            <w:rFonts w:ascii="Calibri" w:hAnsi="Calibri"/>
            <w:color w:val="2E74B5"/>
            <w:u w:val="single"/>
          </w:rPr>
          <w:t>R006</w:t>
        </w:r>
      </w:hyperlink>
      <w:r>
        <w:rPr>
          <w:rFonts w:ascii="Calibri" w:hAnsi="Calibri"/>
          <w:color w:val="000000"/>
          <w:sz w:val="19"/>
        </w:rPr>
        <w:t xml:space="preserve">; </w:t>
      </w:r>
      <w:hyperlink r:id="rId50">
        <w:r>
          <w:rPr>
            <w:rFonts w:ascii="Calibri" w:hAnsi="Calibri"/>
            <w:color w:val="2E74B5"/>
            <w:u w:val="single"/>
          </w:rPr>
          <w:t>R051</w:t>
        </w:r>
      </w:hyperlink>
      <w:r>
        <w:rPr>
          <w:rFonts w:ascii="Calibri" w:hAnsi="Calibri"/>
          <w:color w:val="000000"/>
          <w:sz w:val="19"/>
        </w:rPr>
        <w:t xml:space="preserve">; </w:t>
      </w:r>
      <w:hyperlink r:id="rId51">
        <w:r>
          <w:rPr>
            <w:rFonts w:ascii="Calibri" w:hAnsi="Calibri"/>
            <w:color w:val="2E74B5"/>
            <w:u w:val="single"/>
          </w:rPr>
          <w:t>R052</w:t>
        </w:r>
      </w:hyperlink>
    </w:p>
    <w:p>
      <w:pPr>
        <w:keepNext/>
        <w:spacing w:before="160" w:after="80"/>
      </w:pPr>
      <w:r>
        <w:rPr>
          <w:rFonts w:ascii="Calibri" w:hAnsi="Calibri"/>
          <w:b/>
          <w:color w:val="1F4D78"/>
          <w:sz w:val="22"/>
        </w:rPr>
        <w:t>T004 | Edinburgh CT and genetic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Rule in/out CAA-associated lobar ICH when MRI is unavailable or not primary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CAA as cause of lobar ICH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Acute CT morphology and APOE e4 genotype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Probability/rule-in/rule-out category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Internally validated; external validation still important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Masked autopsy neuropathology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Uses widely available acute CT features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Small derivation set; genotype availability; restricted to lobar ICH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Specialist/research use</w:t>
            </w:r>
          </w:p>
        </w:tc>
      </w:tr>
    </w:tbl>
    <w:p>
      <w:r>
        <w:rPr>
          <w:rFonts w:ascii="Calibri" w:hAnsi="Calibri"/>
          <w:b/>
          <w:color w:val="203748"/>
          <w:sz w:val="19"/>
        </w:rPr>
        <w:t xml:space="preserve">Key sources: </w:t>
      </w:r>
      <w:hyperlink r:id="rId23">
        <w:r>
          <w:rPr>
            <w:rFonts w:ascii="Calibri" w:hAnsi="Calibri"/>
            <w:color w:val="2E74B5"/>
            <w:u w:val="single"/>
          </w:rPr>
          <w:t>R007</w:t>
        </w:r>
      </w:hyperlink>
    </w:p>
    <w:p>
      <w:pPr>
        <w:keepNext/>
        <w:spacing w:before="160" w:after="80"/>
      </w:pPr>
      <w:r>
        <w:rPr>
          <w:rFonts w:ascii="Calibri" w:hAnsi="Calibri"/>
          <w:b/>
          <w:color w:val="1F4D78"/>
          <w:sz w:val="22"/>
        </w:rPr>
        <w:t>T005 | Clinicoradiologic CAA-ri criteria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Recognize probable CAA-related inflammation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Inflammatory CAA syndrome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Subacute clinical syndrome, MRI edema/asymmetry and hemorrhagic evidence, exclusion of alternatives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Possible/probable CAA-ri</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in selected specialist cohorts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Biopsy and/or expert follow-up diagnosis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Can support timely immunotherapy evaluation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Rare syndrome, mimics, verification and referral bias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specialist framework</w:t>
            </w:r>
          </w:p>
        </w:tc>
      </w:tr>
    </w:tbl>
    <w:p>
      <w:r>
        <w:rPr>
          <w:rFonts w:ascii="Calibri" w:hAnsi="Calibri"/>
          <w:b/>
          <w:color w:val="203748"/>
          <w:sz w:val="19"/>
        </w:rPr>
        <w:t xml:space="preserve">Key sources: </w:t>
      </w:r>
      <w:hyperlink r:id="rId24">
        <w:r>
          <w:rPr>
            <w:rFonts w:ascii="Calibri" w:hAnsi="Calibri"/>
            <w:color w:val="2E74B5"/>
            <w:u w:val="single"/>
          </w:rPr>
          <w:t>R008</w:t>
        </w:r>
      </w:hyperlink>
    </w:p>
    <w:p>
      <w:pPr>
        <w:keepNext/>
        <w:spacing w:before="160" w:after="80"/>
      </w:pPr>
      <w:r>
        <w:rPr>
          <w:rFonts w:ascii="Calibri" w:hAnsi="Calibri"/>
          <w:b/>
          <w:color w:val="1F4D78"/>
          <w:sz w:val="22"/>
        </w:rPr>
        <w:t>T006 | Consensus CAA postmortem protocol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 sampling and severity assessment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Vascular amyloid distribution and severity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Specified brain regions and amyloid stains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 and vessel-based CAA assessment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Consensus/appraisal protocol</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Histopathology itself</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Improves comparability of tissue studies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Sampling still misses patchy lesions; interlaboratory variation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Research/neuropathology</w:t>
            </w:r>
          </w:p>
        </w:tc>
      </w:tr>
    </w:tbl>
    <w:p>
      <w:r>
        <w:rPr>
          <w:rFonts w:ascii="Calibri" w:hAnsi="Calibri"/>
          <w:b/>
          <w:color w:val="203748"/>
          <w:sz w:val="19"/>
        </w:rPr>
        <w:t xml:space="preserve">Key sources: </w:t>
      </w:r>
      <w:hyperlink r:id="rId75">
        <w:r>
          <w:rPr>
            <w:rFonts w:ascii="Calibri" w:hAnsi="Calibri"/>
            <w:color w:val="2E74B5"/>
            <w:u w:val="single"/>
          </w:rPr>
          <w:t>R026</w:t>
        </w:r>
      </w:hyperlink>
    </w:p>
    <w:p>
      <w:pPr>
        <w:keepNext/>
        <w:spacing w:before="160" w:after="80"/>
      </w:pPr>
      <w:r>
        <w:rPr>
          <w:rFonts w:ascii="Calibri" w:hAnsi="Calibri"/>
          <w:b/>
          <w:color w:val="1F4D78"/>
          <w:sz w:val="22"/>
        </w:rPr>
        <w:t>T007 | VCING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Estimate likelihood that vascular pathology contributed to cognitive impairment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Vascular contribution to cognitive impairment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neuropathology including infarcts and vessel disease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Low/intermediate/high likelihood contribution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Validated for contribution framework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Clinical-pathologic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Forces integration of lesion burden and cognition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an antemortem etiologic diagnosis; incomplete for all mixed pathologies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Research/neuropathology</w:t>
            </w:r>
          </w:p>
        </w:tc>
      </w:tr>
    </w:tbl>
    <w:p>
      <w:r>
        <w:rPr>
          <w:rFonts w:ascii="Calibri" w:hAnsi="Calibri"/>
          <w:b/>
          <w:color w:val="203748"/>
          <w:sz w:val="19"/>
        </w:rPr>
        <w:t xml:space="preserve">Key sources: </w:t>
      </w:r>
      <w:hyperlink r:id="rId27">
        <w:r>
          <w:rPr>
            <w:rFonts w:ascii="Calibri" w:hAnsi="Calibri"/>
            <w:color w:val="2E74B5"/>
            <w:u w:val="single"/>
          </w:rPr>
          <w:t>R025</w:t>
        </w:r>
      </w:hyperlink>
    </w:p>
    <w:p>
      <w:pPr>
        <w:keepNext/>
        <w:spacing w:before="160" w:after="80"/>
      </w:pPr>
      <w:r>
        <w:rPr>
          <w:rFonts w:ascii="Calibri" w:hAnsi="Calibri"/>
          <w:b/>
          <w:color w:val="1F4D78"/>
          <w:sz w:val="22"/>
        </w:rPr>
        <w:t>T008 | Total SVD score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Summarize visible MRI SVD burden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Total conventional MRI lesion burden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ratings of lacunes, CMBs, WMH, and PVS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0-4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Multiple observational associations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Clinical/construct outcomes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Simple and reproducible summary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Equal weighting, thresholding, mixed etiologies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descriptive/prognostic</w:t>
            </w:r>
          </w:p>
        </w:tc>
      </w:tr>
    </w:tbl>
    <w:p>
      <w:r>
        <w:rPr>
          <w:rFonts w:ascii="Calibri" w:hAnsi="Calibri"/>
          <w:b/>
          <w:color w:val="203748"/>
          <w:sz w:val="19"/>
        </w:rPr>
        <w:t xml:space="preserve">Key sources: </w:t>
      </w:r>
      <w:hyperlink r:id="rId61">
        <w:r>
          <w:rPr>
            <w:rFonts w:ascii="Calibri" w:hAnsi="Calibri"/>
            <w:color w:val="2E74B5"/>
            <w:u w:val="single"/>
          </w:rPr>
          <w:t>R027</w:t>
        </w:r>
      </w:hyperlink>
    </w:p>
    <w:p>
      <w:pPr>
        <w:keepNext/>
        <w:spacing w:before="160" w:after="80"/>
      </w:pPr>
      <w:r>
        <w:rPr>
          <w:rFonts w:ascii="Calibri" w:hAnsi="Calibri"/>
          <w:b/>
          <w:color w:val="1F4D78"/>
          <w:sz w:val="22"/>
        </w:rPr>
        <w:t>T009 | CAA-SVD score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Summarize CAA-oriented MRI burden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Visible MRI burden associated with CAA</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Lobar CMBs, cSS, CSO-PVS, WMH</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0-6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Construct and outcome associations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Clinical/pathologic variables across studies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Compact disease-burden summary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a diagnostic rule; components overlap with non-CAA disease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descriptive/prognostic</w:t>
            </w:r>
          </w:p>
        </w:tc>
      </w:tr>
    </w:tbl>
    <w:p>
      <w:r>
        <w:rPr>
          <w:rFonts w:ascii="Calibri" w:hAnsi="Calibri"/>
          <w:b/>
          <w:color w:val="203748"/>
          <w:sz w:val="19"/>
        </w:rPr>
        <w:t xml:space="preserve">Key sources: </w:t>
      </w:r>
      <w:hyperlink r:id="rId62">
        <w:r>
          <w:rPr>
            <w:rFonts w:ascii="Calibri" w:hAnsi="Calibri"/>
            <w:color w:val="2E74B5"/>
            <w:u w:val="single"/>
          </w:rPr>
          <w:t>R028</w:t>
        </w:r>
      </w:hyperlink>
      <w:r>
        <w:rPr>
          <w:rFonts w:ascii="Calibri" w:hAnsi="Calibri"/>
          <w:color w:val="000000"/>
          <w:sz w:val="19"/>
        </w:rPr>
        <w:t xml:space="preserve">; </w:t>
      </w:r>
      <w:hyperlink r:id="rId57">
        <w:r>
          <w:rPr>
            <w:rFonts w:ascii="Calibri" w:hAnsi="Calibri"/>
            <w:color w:val="2E74B5"/>
            <w:u w:val="single"/>
          </w:rPr>
          <w:t>R029</w:t>
        </w:r>
      </w:hyperlink>
    </w:p>
    <w:p>
      <w:pPr>
        <w:keepNext/>
        <w:spacing w:before="160" w:after="80"/>
      </w:pPr>
      <w:r>
        <w:rPr>
          <w:rFonts w:ascii="Calibri" w:hAnsi="Calibri"/>
          <w:b/>
          <w:color w:val="1F4D78"/>
          <w:sz w:val="22"/>
        </w:rPr>
        <w:t>T010 | MARS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 cerebral microbleed detection and location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 and anatomical distribution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T2*-GRE or SWI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Count and location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Inter/intrarater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visual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Anatomical structure and explicit categories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Sequence and mimic sensitivity; labor intensive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rating</w:t>
            </w:r>
          </w:p>
        </w:tc>
      </w:tr>
    </w:tbl>
    <w:p>
      <w:r>
        <w:rPr>
          <w:rFonts w:ascii="Calibri" w:hAnsi="Calibri"/>
          <w:b/>
          <w:color w:val="203748"/>
          <w:sz w:val="19"/>
        </w:rPr>
        <w:t xml:space="preserve">Key sources: </w:t>
      </w:r>
      <w:hyperlink r:id="rId25">
        <w:r>
          <w:rPr>
            <w:rFonts w:ascii="Calibri" w:hAnsi="Calibri"/>
            <w:color w:val="2E74B5"/>
            <w:u w:val="single"/>
          </w:rPr>
          <w:t>R023</w:t>
        </w:r>
      </w:hyperlink>
    </w:p>
    <w:p>
      <w:pPr>
        <w:keepNext/>
        <w:spacing w:before="160" w:after="80"/>
      </w:pPr>
      <w:r>
        <w:rPr>
          <w:rFonts w:ascii="Calibri" w:hAnsi="Calibri"/>
          <w:b/>
          <w:color w:val="1F4D78"/>
          <w:sz w:val="22"/>
        </w:rPr>
        <w:t>T011 | BOMBS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Improve agreement for brain microbleeds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CMB presence, certainty, location, and mimics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T2*-weighted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Structured CMB 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Reliability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consensus/reference ratings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Explicit mimic handling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Still dependent on reader and acquisition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Research/clinical rating</w:t>
            </w:r>
          </w:p>
        </w:tc>
      </w:tr>
    </w:tbl>
    <w:p>
      <w:r>
        <w:rPr>
          <w:rFonts w:ascii="Calibri" w:hAnsi="Calibri"/>
          <w:b/>
          <w:color w:val="203748"/>
          <w:sz w:val="19"/>
        </w:rPr>
        <w:t xml:space="preserve">Key sources: </w:t>
      </w:r>
      <w:hyperlink r:id="rId26">
        <w:r>
          <w:rPr>
            <w:rFonts w:ascii="Calibri" w:hAnsi="Calibri"/>
            <w:color w:val="2E74B5"/>
            <w:u w:val="single"/>
          </w:rPr>
          <w:t>R024</w:t>
        </w:r>
      </w:hyperlink>
    </w:p>
    <w:p>
      <w:pPr>
        <w:keepNext/>
        <w:spacing w:before="160" w:after="80"/>
      </w:pPr>
      <w:r>
        <w:rPr>
          <w:rFonts w:ascii="Calibri" w:hAnsi="Calibri"/>
          <w:b/>
          <w:color w:val="1F4D78"/>
          <w:sz w:val="22"/>
        </w:rPr>
        <w:t>T012 | ARTS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prediction/enrichment for arteriolosclerosis risk</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Probability-linked arteriolosclerosis signal</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T1 MRI, FLAIR/WMH, diffusion FA, age, sex, container prerequisites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ARTS confidence score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Pathology-linked development/test; strong reported repeatability; transportability incomplete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Semiquantitative autopsy arteriolosclerosis for original diagnostic test</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First openly available automated pathology-linked B-ASC score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Older selected cohorts; MRI-death interval; no clinical cutoff; score is not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only</w:t>
            </w:r>
          </w:p>
        </w:tc>
      </w:tr>
    </w:tbl>
    <w:p>
      <w:r>
        <w:rPr>
          <w:rFonts w:ascii="Calibri" w:hAnsi="Calibri"/>
          <w:b/>
          <w:color w:val="203748"/>
          <w:sz w:val="19"/>
        </w:rPr>
        <w:t xml:space="preserve">Key sources: </w:t>
      </w:r>
      <w:hyperlink r:id="rId32">
        <w:r>
          <w:rPr>
            <w:rFonts w:ascii="Calibri" w:hAnsi="Calibri"/>
            <w:color w:val="2E74B5"/>
            <w:u w:val="single"/>
          </w:rPr>
          <w:t>R017</w:t>
        </w:r>
      </w:hyperlink>
      <w:r>
        <w:rPr>
          <w:rFonts w:ascii="Calibri" w:hAnsi="Calibri"/>
          <w:color w:val="000000"/>
          <w:sz w:val="19"/>
        </w:rPr>
        <w:t xml:space="preserve">; </w:t>
      </w:r>
      <w:hyperlink r:id="rId33">
        <w:r>
          <w:rPr>
            <w:rFonts w:ascii="Calibri" w:hAnsi="Calibri"/>
            <w:color w:val="2E74B5"/>
            <w:u w:val="single"/>
          </w:rPr>
          <w:t>R018</w:t>
        </w:r>
      </w:hyperlink>
      <w:r>
        <w:rPr>
          <w:rFonts w:ascii="Calibri" w:hAnsi="Calibri"/>
          <w:color w:val="000000"/>
          <w:sz w:val="19"/>
        </w:rPr>
        <w:t xml:space="preserve">; </w:t>
      </w:r>
      <w:hyperlink r:id="rId58">
        <w:r>
          <w:rPr>
            <w:rFonts w:ascii="Calibri" w:hAnsi="Calibri"/>
            <w:color w:val="2E74B5"/>
            <w:u w:val="single"/>
          </w:rPr>
          <w:t>R019</w:t>
        </w:r>
      </w:hyperlink>
    </w:p>
    <w:p>
      <w:pPr>
        <w:keepNext/>
        <w:spacing w:before="160" w:after="80"/>
      </w:pPr>
      <w:r>
        <w:rPr>
          <w:rFonts w:ascii="Calibri" w:hAnsi="Calibri"/>
          <w:b/>
          <w:color w:val="1F4D78"/>
          <w:sz w:val="22"/>
        </w:rPr>
        <w:t>T013 | PSMD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diffuse white-matter microstructural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Peak width of skeletonized mean diffusivity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Diffusion MRI and processing pipeline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PSMD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Multisite instrumental and biological validation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Reproducibility and clinical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Automated, sensitive continuous measure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Not etiologically specific; acquisition and processing dependence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76">
        <w:r>
          <w:rPr>
            <w:rFonts w:ascii="Calibri" w:hAnsi="Calibri"/>
            <w:color w:val="2E74B5"/>
            <w:u w:val="single"/>
          </w:rPr>
          <w:t>R021</w:t>
        </w:r>
      </w:hyperlink>
      <w:r>
        <w:rPr>
          <w:rFonts w:ascii="Calibri" w:hAnsi="Calibri"/>
          <w:color w:val="000000"/>
          <w:sz w:val="19"/>
        </w:rPr>
        <w:t xml:space="preserve">; </w:t>
      </w:r>
      <w:hyperlink r:id="rId77">
        <w:r>
          <w:rPr>
            <w:rFonts w:ascii="Calibri" w:hAnsi="Calibri"/>
            <w:color w:val="2E74B5"/>
            <w:u w:val="single"/>
          </w:rPr>
          <w:t>R022</w:t>
        </w:r>
      </w:hyperlink>
    </w:p>
    <w:p>
      <w:pPr>
        <w:keepNext/>
        <w:spacing w:before="160" w:after="80"/>
      </w:pPr>
      <w:r>
        <w:rPr>
          <w:rFonts w:ascii="Calibri" w:hAnsi="Calibri"/>
          <w:b/>
          <w:color w:val="1F4D78"/>
          <w:sz w:val="22"/>
        </w:rPr>
        <w:t>T014 | White-matter free water</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 extracellular/free-water-related tissue change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Diffuse white-matter microstructural injury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Multishell or model-appropriate diffusion MRI</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Voxel/region continuous free-water measure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Instrumental/biological validation evolving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Repeatability and clinical association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Potential sensitivity to subtle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Model and motion dependence; nonspecific biology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78">
        <w:r>
          <w:rPr>
            <w:rFonts w:ascii="Calibri" w:hAnsi="Calibri"/>
            <w:color w:val="2E74B5"/>
            <w:u w:val="single"/>
          </w:rPr>
          <w:t>R020</w:t>
        </w:r>
      </w:hyperlink>
      <w:r>
        <w:rPr>
          <w:rFonts w:ascii="Calibri" w:hAnsi="Calibri"/>
          <w:color w:val="000000"/>
          <w:sz w:val="19"/>
        </w:rPr>
        <w:t xml:space="preserve">; </w:t>
      </w:r>
      <w:hyperlink r:id="rId76">
        <w:r>
          <w:rPr>
            <w:rFonts w:ascii="Calibri" w:hAnsi="Calibri"/>
            <w:color w:val="2E74B5"/>
            <w:u w:val="single"/>
          </w:rPr>
          <w:t>R021</w:t>
        </w:r>
      </w:hyperlink>
    </w:p>
    <w:p>
      <w:pPr>
        <w:keepNext/>
        <w:spacing w:before="160" w:after="80"/>
      </w:pPr>
      <w:r>
        <w:rPr>
          <w:rFonts w:ascii="Calibri" w:hAnsi="Calibri"/>
          <w:b/>
          <w:color w:val="1F4D78"/>
          <w:sz w:val="22"/>
        </w:rPr>
        <w:t>T015 | WMH segmentation algorithms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WMH volume and spatial distribution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MRI-defined WMH</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FLAIR plus optional T1; algorithm-specific preprocessing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Masks, volume, spatial features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Benchmark performance exists; external transport varies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masks and challenge datasets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Scalable continuous measurement</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Domain shift, lesion mimics, scanner effects, opaque QC</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clinical use depends on product</w:t>
            </w:r>
          </w:p>
        </w:tc>
      </w:tr>
    </w:tbl>
    <w:p>
      <w:r>
        <w:rPr>
          <w:rFonts w:ascii="Calibri" w:hAnsi="Calibri"/>
          <w:b/>
          <w:color w:val="203748"/>
          <w:sz w:val="19"/>
        </w:rPr>
        <w:t xml:space="preserve">Key sources: </w:t>
      </w:r>
      <w:hyperlink r:id="rId79">
        <w:r>
          <w:rPr>
            <w:rFonts w:ascii="Calibri" w:hAnsi="Calibri"/>
            <w:color w:val="2E74B5"/>
            <w:u w:val="single"/>
          </w:rPr>
          <w:t>R045</w:t>
        </w:r>
      </w:hyperlink>
    </w:p>
    <w:p>
      <w:pPr>
        <w:keepNext/>
        <w:spacing w:before="160" w:after="80"/>
      </w:pPr>
      <w:r>
        <w:rPr>
          <w:rFonts w:ascii="Calibri" w:hAnsi="Calibri"/>
          <w:b/>
          <w:color w:val="1F4D78"/>
          <w:sz w:val="22"/>
        </w:rPr>
        <w:t>T016 | Digital histopathology CNN marker suite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Quantify vascular amyloid, plaques, iron/calcium, glia, and fibrin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Histopathologic marker burden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Digitized stained slides and trained Aiforia models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Continuous marker areas/counts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Good-to-excellent internal expert-referenced performance</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Expert annotations and prior scores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Enables continuous spatial pathology analyses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Laboratory/stain/platform domain shift; external validation limited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only</w:t>
            </w:r>
          </w:p>
        </w:tc>
      </w:tr>
    </w:tbl>
    <w:p>
      <w:r>
        <w:rPr>
          <w:rFonts w:ascii="Calibri" w:hAnsi="Calibri"/>
          <w:b/>
          <w:color w:val="203748"/>
          <w:sz w:val="19"/>
        </w:rPr>
        <w:t xml:space="preserve">Key sources: </w:t>
      </w:r>
      <w:hyperlink r:id="rId74">
        <w:r>
          <w:rPr>
            <w:rFonts w:ascii="Calibri" w:hAnsi="Calibri"/>
            <w:color w:val="2E74B5"/>
            <w:u w:val="single"/>
          </w:rPr>
          <w:t>R016</w:t>
        </w:r>
      </w:hyperlink>
    </w:p>
    <w:p>
      <w:pPr>
        <w:keepNext/>
        <w:spacing w:before="160" w:after="80"/>
      </w:pPr>
      <w:r>
        <w:rPr>
          <w:rFonts w:ascii="Calibri" w:hAnsi="Calibri"/>
          <w:b/>
          <w:color w:val="1F4D78"/>
          <w:sz w:val="22"/>
        </w:rPr>
        <w:t>T017 | Carbon-dioxide challenge cerebrovascular reactivity MRI</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measurement of vascular reserve and dysfunction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Change in cerebral MRI signal or flow response to a vasoactive challenge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Standardized BOLD or perfusion MRI, gas delivery/end-tidal monitoring, preprocessing, region definition</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Regional or voxelwise CVR magnitude and related parameters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Multisite cognitive association and longitudinal imaging prediction; pathology specificity untested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Reproducibility, cognition, and longitudinal SVD imaging rather than vessel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Measures vascular function before irreversible structural injury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Gas challenge, analysis, motion, vascular anatomy, and systemic physiology reduce scalability and specificity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biomarker</w:t>
            </w:r>
          </w:p>
        </w:tc>
      </w:tr>
    </w:tbl>
    <w:p>
      <w:r>
        <w:rPr>
          <w:rFonts w:ascii="Calibri" w:hAnsi="Calibri"/>
          <w:b/>
          <w:color w:val="203748"/>
          <w:sz w:val="19"/>
        </w:rPr>
        <w:t xml:space="preserve">Key sources: </w:t>
      </w:r>
      <w:hyperlink r:id="rId66">
        <w:r>
          <w:rPr>
            <w:rFonts w:ascii="Calibri" w:hAnsi="Calibri"/>
            <w:color w:val="2E74B5"/>
            <w:u w:val="single"/>
          </w:rPr>
          <w:t>R054</w:t>
        </w:r>
      </w:hyperlink>
      <w:r>
        <w:rPr>
          <w:rFonts w:ascii="Calibri" w:hAnsi="Calibri"/>
          <w:color w:val="000000"/>
          <w:sz w:val="19"/>
        </w:rPr>
        <w:t xml:space="preserve">; </w:t>
      </w:r>
      <w:hyperlink r:id="rId67">
        <w:r>
          <w:rPr>
            <w:rFonts w:ascii="Calibri" w:hAnsi="Calibri"/>
            <w:color w:val="2E74B5"/>
            <w:u w:val="single"/>
          </w:rPr>
          <w:t>R060</w:t>
        </w:r>
      </w:hyperlink>
      <w:r>
        <w:rPr>
          <w:rFonts w:ascii="Calibri" w:hAnsi="Calibri"/>
          <w:color w:val="000000"/>
          <w:sz w:val="19"/>
        </w:rPr>
        <w:t xml:space="preserve">; </w:t>
      </w:r>
      <w:hyperlink r:id="rId78">
        <w:r>
          <w:rPr>
            <w:rFonts w:ascii="Calibri" w:hAnsi="Calibri"/>
            <w:color w:val="2E74B5"/>
            <w:u w:val="single"/>
          </w:rPr>
          <w:t>R020</w:t>
        </w:r>
      </w:hyperlink>
      <w:r>
        <w:rPr>
          <w:rFonts w:ascii="Calibri" w:hAnsi="Calibri"/>
          <w:color w:val="000000"/>
          <w:sz w:val="19"/>
        </w:rPr>
        <w:t xml:space="preserve">; </w:t>
      </w:r>
      <w:hyperlink r:id="rId76">
        <w:r>
          <w:rPr>
            <w:rFonts w:ascii="Calibri" w:hAnsi="Calibri"/>
            <w:color w:val="2E74B5"/>
            <w:u w:val="single"/>
          </w:rPr>
          <w:t>R021</w:t>
        </w:r>
      </w:hyperlink>
    </w:p>
    <w:p>
      <w:pPr>
        <w:keepNext/>
        <w:spacing w:before="160" w:after="80"/>
      </w:pPr>
      <w:r>
        <w:rPr>
          <w:rFonts w:ascii="Calibri" w:hAnsi="Calibri"/>
          <w:b/>
          <w:color w:val="1F4D78"/>
          <w:sz w:val="22"/>
        </w:rPr>
        <w:t>T018 | Regional amyloid PET pattern analysis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differential assessment of CAA, AD, and controls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Global and regional fibrillar amyloid tracer retention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Amyloid PET, tracer-specific processing, reference region, structural imaging, prespecified regional ratios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Global uptake and regional distribution metrics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Group-level differences; no universal pathology-validated patient threshold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Usually clinical CAA/AD classifications; sparse pathology</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Directly probes fibrillar amyloid distribution in vivo</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Cannot reliably assign vascular versus parenchymal amyloid in mixed disease</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Research adjunct; not standalone CAA diagnosis</w:t>
            </w:r>
          </w:p>
        </w:tc>
      </w:tr>
    </w:tbl>
    <w:p>
      <w:r>
        <w:rPr>
          <w:rFonts w:ascii="Calibri" w:hAnsi="Calibri"/>
          <w:b/>
          <w:color w:val="203748"/>
          <w:sz w:val="19"/>
        </w:rPr>
        <w:t xml:space="preserve">Key sources: </w:t>
      </w:r>
      <w:hyperlink r:id="rId64">
        <w:r>
          <w:rPr>
            <w:rFonts w:ascii="Calibri" w:hAnsi="Calibri"/>
            <w:color w:val="2E74B5"/>
            <w:u w:val="single"/>
          </w:rPr>
          <w:t>R032</w:t>
        </w:r>
      </w:hyperlink>
      <w:r>
        <w:rPr>
          <w:rFonts w:ascii="Calibri" w:hAnsi="Calibri"/>
          <w:color w:val="000000"/>
          <w:sz w:val="19"/>
        </w:rPr>
        <w:t xml:space="preserve">; </w:t>
      </w:r>
      <w:hyperlink r:id="rId70">
        <w:r>
          <w:rPr>
            <w:rFonts w:ascii="Calibri" w:hAnsi="Calibri"/>
            <w:color w:val="2E74B5"/>
            <w:u w:val="single"/>
          </w:rPr>
          <w:t>R059</w:t>
        </w:r>
      </w:hyperlink>
    </w:p>
    <w:p>
      <w:pPr>
        <w:keepNext/>
        <w:spacing w:before="160" w:after="80"/>
      </w:pPr>
      <w:r>
        <w:rPr>
          <w:rFonts w:ascii="Calibri" w:hAnsi="Calibri"/>
          <w:b/>
          <w:color w:val="1F4D78"/>
          <w:sz w:val="22"/>
        </w:rPr>
        <w:t>T019 | ARIA detection and monitoring framework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Field</w:t>
            </w:r>
          </w:p>
        </w:tc>
        <w:tc>
          <w:tcPr>
            <w:tcW w:type="dxa" w:w="7460"/>
            <w:vAlign w:val="center"/>
            <w:tcMar>
              <w:top w:w="80" w:type="dxa"/>
              <w:start w:w="120" w:type="dxa"/>
              <w:bottom w:w="80" w:type="dxa"/>
              <w:end w:w="120" w:type="dxa"/>
            </w:tcMar>
            <w:shd w:fill="E8EEF5"/>
          </w:tcPr>
          <w:p>
            <w:pPr>
              <w:spacing w:before="0" w:after="40" w:line="264" w:lineRule="auto"/>
              <w:jc w:val="left"/>
            </w:pPr>
            <w:r>
              <w:rPr>
                <w:rFonts w:ascii="Calibri" w:hAnsi="Calibri"/>
                <w:b/>
                <w:color w:val="203748"/>
                <w:sz w:val="19"/>
              </w:rPr>
              <w:t>Record</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Job</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MRI surveillance during anti-amyloid therapy</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Target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ARIA-E edema/effusion and ARIA-H hemorrhagic abnormalities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Inputs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Baseline and serial FLAIR, diffusion, T2*-GRE or SWI, clinical context, treatment timing</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Output</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Presence, type, severity, evolution, and action-relevant communication</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Validation</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Consensus-based monitoring with therapy-specific evidence; real-world severe-event prediction remains limited</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Reference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Trial and clinical imaging definitions plus outcomes</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Strength</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Connects standardized detection to safety workflows</w:t>
            </w:r>
          </w:p>
        </w:tc>
      </w:tr>
      <w:tr>
        <w:trPr>
          <w:cantSplit/>
        </w:trPr>
        <w:tc>
          <w:tcPr>
            <w:tcW w:type="dxa" w:w="190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Failure mode</w:t>
            </w:r>
          </w:p>
        </w:tc>
        <w:tc>
          <w:tcPr>
            <w:tcW w:type="dxa" w:w="7460"/>
            <w:vAlign w:val="center"/>
            <w:tcMar>
              <w:top w:w="80" w:type="dxa"/>
              <w:start w:w="120" w:type="dxa"/>
              <w:bottom w:w="80" w:type="dxa"/>
              <w:end w:w="120" w:type="dxa"/>
            </w:tcMar>
            <w:shd w:fill="F8FAFC"/>
          </w:tcPr>
          <w:p>
            <w:pPr>
              <w:spacing w:before="0" w:after="40" w:line="264" w:lineRule="auto"/>
              <w:jc w:val="left"/>
            </w:pPr>
            <w:r>
              <w:rPr>
                <w:rFonts w:ascii="Calibri" w:hAnsi="Calibri"/>
                <w:b w:val="0"/>
                <w:color w:val="000000"/>
                <w:sz w:val="19"/>
              </w:rPr>
              <w:t>ARIA, spontaneous CAA-ri, infarction, PRES, infection, and other mimics may overlap</w:t>
            </w:r>
          </w:p>
        </w:tc>
      </w:tr>
      <w:tr>
        <w:trPr>
          <w:cantSplit/>
        </w:trPr>
        <w:tc>
          <w:tcPr>
            <w:tcW w:type="dxa" w:w="190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Status</w:t>
            </w:r>
          </w:p>
        </w:tc>
        <w:tc>
          <w:tcPr>
            <w:tcW w:type="dxa" w:w="7460"/>
            <w:vAlign w:val="center"/>
            <w:tcMar>
              <w:top w:w="80" w:type="dxa"/>
              <w:start w:w="120" w:type="dxa"/>
              <w:bottom w:w="80" w:type="dxa"/>
              <w:end w:w="120" w:type="dxa"/>
            </w:tcMar>
          </w:tcPr>
          <w:p>
            <w:pPr>
              <w:spacing w:before="0" w:after="40" w:line="264" w:lineRule="auto"/>
              <w:jc w:val="left"/>
            </w:pPr>
            <w:r>
              <w:rPr>
                <w:rFonts w:ascii="Calibri" w:hAnsi="Calibri"/>
                <w:b w:val="0"/>
                <w:color w:val="000000"/>
                <w:sz w:val="19"/>
              </w:rPr>
              <w:t>Clinical safety framework; use current drug-specific guidance</w:t>
            </w:r>
          </w:p>
        </w:tc>
      </w:tr>
    </w:tbl>
    <w:p>
      <w:r>
        <w:rPr>
          <w:rFonts w:ascii="Calibri" w:hAnsi="Calibri"/>
          <w:b/>
          <w:color w:val="203748"/>
          <w:sz w:val="19"/>
        </w:rPr>
        <w:t xml:space="preserve">Key sources: </w:t>
      </w:r>
      <w:hyperlink r:id="rId59">
        <w:r>
          <w:rPr>
            <w:rFonts w:ascii="Calibri" w:hAnsi="Calibri"/>
            <w:color w:val="2E74B5"/>
            <w:u w:val="single"/>
          </w:rPr>
          <w:t>R040</w:t>
        </w:r>
      </w:hyperlink>
      <w:r>
        <w:rPr>
          <w:rFonts w:ascii="Calibri" w:hAnsi="Calibri"/>
          <w:color w:val="000000"/>
          <w:sz w:val="19"/>
        </w:rPr>
        <w:t xml:space="preserve">; </w:t>
      </w:r>
      <w:hyperlink r:id="rId71">
        <w:r>
          <w:rPr>
            <w:rFonts w:ascii="Calibri" w:hAnsi="Calibri"/>
            <w:color w:val="2E74B5"/>
            <w:u w:val="single"/>
          </w:rPr>
          <w:t>R055</w:t>
        </w:r>
      </w:hyperlink>
    </w:p>
    <w:p>
      <w:bookmarkStart w:id="183" w:name="section_174"/>
      <w:pPr>
        <w:pStyle w:val="Heading1"/>
      </w:pPr>
      <w:r>
        <w:t>Appendix K. Curated Source Registry</w:t>
      </w:r>
      <w:bookmarkEnd w:id="183"/>
      <w:r>
        <w:rPr>
          <w:rFonts w:ascii="Calibri" w:hAnsi="Calibri"/>
          <w:color w:val="000000"/>
          <w:sz w:val="16"/>
        </w:rPr>
        <w:t xml:space="preserve">   </w:t>
      </w:r>
      <w:hyperlink w:anchor="Contents">
        <w:r>
          <w:rPr>
            <w:color w:val="2E74B5"/>
            <w:u w:val="single"/>
            <w:sz w:val="16"/>
          </w:rPr>
          <w:t>Back to contents</w:t>
        </w:r>
      </w:hyperlink>
    </w:p>
    <w:p>
      <w:r>
        <w:rPr>
          <w:rFonts w:ascii="Calibri" w:hAnsi="Calibri"/>
          <w:color w:val="000000"/>
          <w:sz w:val="22"/>
        </w:rPr>
        <w:t>This is a curated source map, not a completed systematic review. Consult the screening and extraction-status files before using it as evidence of completeness.</w:t>
      </w:r>
    </w:p>
    <w:p>
      <w:bookmarkStart w:id="184" w:name="section_175"/>
      <w:pPr>
        <w:pStyle w:val="Heading2"/>
      </w:pPr>
      <w:r>
        <w:t>Essential sources</w:t>
      </w:r>
      <w:bookmarkEnd w:id="184"/>
    </w:p>
    <w:p>
      <w:pPr>
        <w:numPr>
          <w:ilvl w:val="0"/>
          <w:numId w:val="24"/>
        </w:numPr>
        <w:spacing w:before="0" w:after="80" w:line="269" w:lineRule="auto"/>
      </w:pPr>
      <w:r>
        <w:rPr>
          <w:rFonts w:ascii="Calibri" w:hAnsi="Calibri"/>
          <w:b/>
          <w:color w:val="000000"/>
          <w:sz w:val="19"/>
        </w:rPr>
        <w:t xml:space="preserve">[R055] Amyloid-related imaging abnormalities in anti-amyloid therapies for Alzheimer's disease: an update from the Alzheimer's Association ARIA workgroup (2026). </w:t>
      </w:r>
      <w:r>
        <w:rPr>
          <w:rFonts w:ascii="Calibri" w:hAnsi="Calibri"/>
          <w:color w:val="000000"/>
          <w:sz w:val="19"/>
        </w:rPr>
        <w:t xml:space="preserve">Alzheimer's &amp; Dementia; expert workgroup review. </w:t>
      </w:r>
      <w:hyperlink r:id="rId71">
        <w:r>
          <w:rPr>
            <w:rFonts w:ascii="Calibri" w:hAnsi="Calibri"/>
            <w:color w:val="2E74B5"/>
            <w:u w:val="single"/>
          </w:rPr>
          <w:t>Source</w:t>
        </w:r>
      </w:hyperlink>
      <w:r>
        <w:rPr>
          <w:rFonts w:ascii="Calibri" w:hAnsi="Calibri"/>
          <w:i/>
          <w:color w:val="5A626C"/>
          <w:sz w:val="18"/>
        </w:rPr>
        <w:t>. Current workgroup synthesis of ARIA mechanisms, detection, monitoring, risk mitigation, and evidence gaps.</w:t>
      </w:r>
    </w:p>
    <w:p>
      <w:pPr>
        <w:numPr>
          <w:ilvl w:val="0"/>
          <w:numId w:val="24"/>
        </w:numPr>
        <w:spacing w:before="0" w:after="80" w:line="269" w:lineRule="auto"/>
      </w:pPr>
      <w:r>
        <w:rPr>
          <w:rFonts w:ascii="Calibri" w:hAnsi="Calibri"/>
          <w:b/>
          <w:color w:val="000000"/>
          <w:sz w:val="19"/>
        </w:rPr>
        <w:t xml:space="preserve">[R004] Cerebral Amyloid Angiopathy (2026). </w:t>
      </w:r>
      <w:r>
        <w:rPr>
          <w:rFonts w:ascii="Calibri" w:hAnsi="Calibri"/>
          <w:color w:val="000000"/>
          <w:sz w:val="19"/>
        </w:rPr>
        <w:t xml:space="preserve">New England Journal of Medicine; review. </w:t>
      </w:r>
      <w:hyperlink r:id="rId16">
        <w:r>
          <w:rPr>
            <w:rFonts w:ascii="Calibri" w:hAnsi="Calibri"/>
            <w:color w:val="2E74B5"/>
            <w:u w:val="single"/>
          </w:rPr>
          <w:t>Source</w:t>
        </w:r>
      </w:hyperlink>
      <w:r>
        <w:rPr>
          <w:rFonts w:ascii="Calibri" w:hAnsi="Calibri"/>
          <w:i/>
          <w:color w:val="5A626C"/>
          <w:sz w:val="18"/>
        </w:rPr>
        <w:t>. Current concise field overview.</w:t>
      </w:r>
    </w:p>
    <w:p>
      <w:pPr>
        <w:numPr>
          <w:ilvl w:val="0"/>
          <w:numId w:val="24"/>
        </w:numPr>
        <w:spacing w:before="0" w:after="80" w:line="269" w:lineRule="auto"/>
      </w:pPr>
      <w:r>
        <w:rPr>
          <w:rFonts w:ascii="Calibri" w:hAnsi="Calibri"/>
          <w:b/>
          <w:color w:val="000000"/>
          <w:sz w:val="19"/>
        </w:rPr>
        <w:t xml:space="preserve">[R009] Diagnosis and management of cerebral amyloid angiopathy: a scientific statement from the International CAA Association and the World Stroke Organization (2025). </w:t>
      </w:r>
      <w:r>
        <w:rPr>
          <w:rFonts w:ascii="Calibri" w:hAnsi="Calibri"/>
          <w:color w:val="000000"/>
          <w:sz w:val="19"/>
        </w:rPr>
        <w:t xml:space="preserve">International Journal of Stroke; scientific statement. </w:t>
      </w:r>
      <w:hyperlink r:id="rId80">
        <w:r>
          <w:rPr>
            <w:rFonts w:ascii="Calibri" w:hAnsi="Calibri"/>
            <w:color w:val="2E74B5"/>
            <w:u w:val="single"/>
          </w:rPr>
          <w:t>Source</w:t>
        </w:r>
      </w:hyperlink>
      <w:r>
        <w:rPr>
          <w:rFonts w:ascii="Calibri" w:hAnsi="Calibri"/>
          <w:i/>
          <w:color w:val="5A626C"/>
          <w:sz w:val="18"/>
        </w:rPr>
        <w:t>. Current international diagnostic/management consensus; recommendations vary in strength.</w:t>
      </w:r>
    </w:p>
    <w:p>
      <w:pPr>
        <w:numPr>
          <w:ilvl w:val="0"/>
          <w:numId w:val="24"/>
        </w:numPr>
        <w:spacing w:before="0" w:after="80" w:line="269" w:lineRule="auto"/>
      </w:pPr>
      <w:r>
        <w:rPr>
          <w:rFonts w:ascii="Calibri" w:hAnsi="Calibri"/>
          <w:b/>
          <w:color w:val="000000"/>
          <w:sz w:val="19"/>
        </w:rPr>
        <w:t xml:space="preserve">[R052] Boston Criteria v2.0 for Cerebral Amyloid Angiopathy Without Hemorrhage: An MRI-Neuropathologic Validation Study (2024). </w:t>
      </w:r>
      <w:r>
        <w:rPr>
          <w:rFonts w:ascii="Calibri" w:hAnsi="Calibri"/>
          <w:color w:val="000000"/>
          <w:sz w:val="19"/>
        </w:rPr>
        <w:t xml:space="preserve">Neurology; diagnostic accuracy. </w:t>
      </w:r>
      <w:hyperlink r:id="rId51">
        <w:r>
          <w:rPr>
            <w:rFonts w:ascii="Calibri" w:hAnsi="Calibri"/>
            <w:color w:val="2E74B5"/>
            <w:u w:val="single"/>
          </w:rPr>
          <w:t>Source</w:t>
        </w:r>
      </w:hyperlink>
      <w:r>
        <w:rPr>
          <w:rFonts w:ascii="Calibri" w:hAnsi="Calibri"/>
          <w:i/>
          <w:color w:val="5A626C"/>
          <w:sz w:val="18"/>
        </w:rPr>
        <w:t>. Mayo community/memory cohort; probable CAA sensitivity 28.6%, specificity 65.3%, AUC 0.47.</w:t>
      </w:r>
    </w:p>
    <w:p>
      <w:pPr>
        <w:numPr>
          <w:ilvl w:val="0"/>
          <w:numId w:val="24"/>
        </w:numPr>
        <w:spacing w:before="0" w:after="80" w:line="269" w:lineRule="auto"/>
      </w:pPr>
      <w:r>
        <w:rPr>
          <w:rFonts w:ascii="Calibri" w:hAnsi="Calibri"/>
          <w:b/>
          <w:color w:val="000000"/>
          <w:sz w:val="19"/>
        </w:rPr>
        <w:t xml:space="preserve">[R011] Is CAA a perivascular brain clearance disease? (2024). </w:t>
      </w:r>
      <w:r>
        <w:rPr>
          <w:rFonts w:ascii="Calibri" w:hAnsi="Calibri"/>
          <w:color w:val="000000"/>
          <w:sz w:val="19"/>
        </w:rPr>
        <w:t xml:space="preserve">Cellular and Molecular Life Sciences; review. </w:t>
      </w:r>
      <w:hyperlink r:id="rId19">
        <w:r>
          <w:rPr>
            <w:rFonts w:ascii="Calibri" w:hAnsi="Calibri"/>
            <w:color w:val="2E74B5"/>
            <w:u w:val="single"/>
          </w:rPr>
          <w:t>Source</w:t>
        </w:r>
      </w:hyperlink>
      <w:r>
        <w:rPr>
          <w:rFonts w:ascii="Calibri" w:hAnsi="Calibri"/>
          <w:i/>
          <w:color w:val="5A626C"/>
          <w:sz w:val="18"/>
        </w:rPr>
        <w:t>. Evidence for and against clearance models.</w:t>
      </w:r>
    </w:p>
    <w:p>
      <w:pPr>
        <w:numPr>
          <w:ilvl w:val="0"/>
          <w:numId w:val="24"/>
        </w:numPr>
        <w:spacing w:before="0" w:after="80" w:line="269" w:lineRule="auto"/>
      </w:pPr>
      <w:r>
        <w:rPr>
          <w:rFonts w:ascii="Calibri" w:hAnsi="Calibri"/>
          <w:b/>
          <w:color w:val="000000"/>
          <w:sz w:val="19"/>
        </w:rPr>
        <w:t xml:space="preserve">[R051] Sensitivity and Specificity of the Boston Criteria Version 2.0 for the Diagnosis of Cerebral Amyloid Angiopathy in a Community-Based Sample (2024). </w:t>
      </w:r>
      <w:r>
        <w:rPr>
          <w:rFonts w:ascii="Calibri" w:hAnsi="Calibri"/>
          <w:color w:val="000000"/>
          <w:sz w:val="19"/>
        </w:rPr>
        <w:t xml:space="preserve">Neurology; diagnostic accuracy. </w:t>
      </w:r>
      <w:hyperlink r:id="rId50">
        <w:r>
          <w:rPr>
            <w:rFonts w:ascii="Calibri" w:hAnsi="Calibri"/>
            <w:color w:val="2E74B5"/>
            <w:u w:val="single"/>
          </w:rPr>
          <w:t>Source</w:t>
        </w:r>
      </w:hyperlink>
      <w:r>
        <w:rPr>
          <w:rFonts w:ascii="Calibri" w:hAnsi="Calibri"/>
          <w:i/>
          <w:color w:val="5A626C"/>
          <w:sz w:val="18"/>
        </w:rPr>
        <w:t>. ROSMAP autopsy cohort; v2.0 sensitivity 38.8% and specificity 83.5% for probable CAA.</w:t>
      </w:r>
    </w:p>
    <w:p>
      <w:pPr>
        <w:numPr>
          <w:ilvl w:val="0"/>
          <w:numId w:val="24"/>
        </w:numPr>
        <w:spacing w:before="0" w:after="80" w:line="269" w:lineRule="auto"/>
      </w:pPr>
      <w:r>
        <w:rPr>
          <w:rFonts w:ascii="Calibri" w:hAnsi="Calibri"/>
          <w:b/>
          <w:color w:val="000000"/>
          <w:sz w:val="19"/>
        </w:rPr>
        <w:t xml:space="preserve">[R018] The ARTS marker of arteriolosclerosis: instrumental and clinical validation (2024). </w:t>
      </w:r>
      <w:r>
        <w:rPr>
          <w:rFonts w:ascii="Calibri" w:hAnsi="Calibri"/>
          <w:color w:val="000000"/>
          <w:sz w:val="19"/>
        </w:rPr>
        <w:t xml:space="preserve">Alzheimer's &amp; Dementia; biomarker validation. </w:t>
      </w:r>
      <w:hyperlink r:id="rId33">
        <w:r>
          <w:rPr>
            <w:rFonts w:ascii="Calibri" w:hAnsi="Calibri"/>
            <w:color w:val="2E74B5"/>
            <w:u w:val="single"/>
          </w:rPr>
          <w:t>Source</w:t>
        </w:r>
      </w:hyperlink>
      <w:r>
        <w:rPr>
          <w:rFonts w:ascii="Calibri" w:hAnsi="Calibri"/>
          <w:i/>
          <w:color w:val="5A626C"/>
          <w:sz w:val="18"/>
        </w:rPr>
        <w:t>. MarkVCID repeatability/reproducibility and cognition.</w:t>
      </w:r>
    </w:p>
    <w:p>
      <w:pPr>
        <w:numPr>
          <w:ilvl w:val="0"/>
          <w:numId w:val="24"/>
        </w:numPr>
        <w:spacing w:before="0" w:after="80" w:line="269" w:lineRule="auto"/>
      </w:pPr>
      <w:r>
        <w:rPr>
          <w:rFonts w:ascii="Calibri" w:hAnsi="Calibri"/>
          <w:b/>
          <w:color w:val="000000"/>
          <w:sz w:val="19"/>
        </w:rPr>
        <w:t xml:space="preserve">[R014] The role of neuroinflammation in cerebral amyloid angiopathy (2024). </w:t>
      </w:r>
      <w:r>
        <w:rPr>
          <w:rFonts w:ascii="Calibri" w:hAnsi="Calibri"/>
          <w:color w:val="000000"/>
          <w:sz w:val="19"/>
        </w:rPr>
        <w:t xml:space="preserve">eBioMedicine; review. </w:t>
      </w:r>
      <w:hyperlink r:id="rId48">
        <w:r>
          <w:rPr>
            <w:rFonts w:ascii="Calibri" w:hAnsi="Calibri"/>
            <w:color w:val="2E74B5"/>
            <w:u w:val="single"/>
          </w:rPr>
          <w:t>Source</w:t>
        </w:r>
      </w:hyperlink>
      <w:r>
        <w:rPr>
          <w:rFonts w:ascii="Calibri" w:hAnsi="Calibri"/>
          <w:i/>
          <w:color w:val="5A626C"/>
          <w:sz w:val="18"/>
        </w:rPr>
        <w:t>. Integrates spontaneous CAA, CAA-ri, and ARIA mechanisms.</w:t>
      </w:r>
    </w:p>
    <w:p>
      <w:pPr>
        <w:numPr>
          <w:ilvl w:val="0"/>
          <w:numId w:val="24"/>
        </w:numPr>
        <w:spacing w:before="0" w:after="80" w:line="269" w:lineRule="auto"/>
      </w:pPr>
      <w:r>
        <w:rPr>
          <w:rFonts w:ascii="Calibri" w:hAnsi="Calibri"/>
          <w:b/>
          <w:color w:val="000000"/>
          <w:sz w:val="19"/>
        </w:rPr>
        <w:t xml:space="preserve">[R015] Histopathological correlates of lobar microbleeds in false-positive cerebral amyloid angiopathy cases (2023). </w:t>
      </w:r>
      <w:r>
        <w:rPr>
          <w:rFonts w:ascii="Calibri" w:hAnsi="Calibri"/>
          <w:color w:val="000000"/>
          <w:sz w:val="19"/>
        </w:rPr>
        <w:t xml:space="preserve">Annals of Neurology; lesion-level MRI-pathology. </w:t>
      </w:r>
      <w:hyperlink r:id="rId49">
        <w:r>
          <w:rPr>
            <w:rFonts w:ascii="Calibri" w:hAnsi="Calibri"/>
            <w:color w:val="2E74B5"/>
            <w:u w:val="single"/>
          </w:rPr>
          <w:t>Source</w:t>
        </w:r>
      </w:hyperlink>
      <w:r>
        <w:rPr>
          <w:rFonts w:ascii="Calibri" w:hAnsi="Calibri"/>
          <w:i/>
          <w:color w:val="5A626C"/>
          <w:sz w:val="18"/>
        </w:rPr>
        <w:t>. Arteriolosclerosis can produce lobar CMBs.</w:t>
      </w:r>
    </w:p>
    <w:p>
      <w:pPr>
        <w:numPr>
          <w:ilvl w:val="0"/>
          <w:numId w:val="24"/>
        </w:numPr>
        <w:spacing w:before="0" w:after="80" w:line="269" w:lineRule="auto"/>
      </w:pPr>
      <w:r>
        <w:rPr>
          <w:rFonts w:ascii="Calibri" w:hAnsi="Calibri"/>
          <w:b/>
          <w:color w:val="000000"/>
          <w:sz w:val="19"/>
        </w:rPr>
        <w:t xml:space="preserve">[R001] Neuroimaging standards for research into small vessel disease - advances since 2013 (2023). </w:t>
      </w:r>
      <w:r>
        <w:rPr>
          <w:rFonts w:ascii="Calibri" w:hAnsi="Calibri"/>
          <w:color w:val="000000"/>
          <w:sz w:val="19"/>
        </w:rPr>
        <w:t xml:space="preserve">Lancet Neurology; consensus/position paper. </w:t>
      </w:r>
      <w:hyperlink r:id="rId15">
        <w:r>
          <w:rPr>
            <w:rFonts w:ascii="Calibri" w:hAnsi="Calibri"/>
            <w:color w:val="2E74B5"/>
            <w:u w:val="single"/>
          </w:rPr>
          <w:t>Source</w:t>
        </w:r>
      </w:hyperlink>
      <w:r>
        <w:rPr>
          <w:rFonts w:ascii="Calibri" w:hAnsi="Calibri"/>
          <w:i/>
          <w:color w:val="5A626C"/>
          <w:sz w:val="18"/>
        </w:rPr>
        <w:t>. Use with STRIVE-1; phenotype-first terminology.</w:t>
      </w:r>
    </w:p>
    <w:p>
      <w:pPr>
        <w:numPr>
          <w:ilvl w:val="0"/>
          <w:numId w:val="24"/>
        </w:numPr>
        <w:spacing w:before="0" w:after="80" w:line="269" w:lineRule="auto"/>
      </w:pPr>
      <w:r>
        <w:rPr>
          <w:rFonts w:ascii="Calibri" w:hAnsi="Calibri"/>
          <w:b/>
          <w:color w:val="000000"/>
          <w:sz w:val="19"/>
        </w:rPr>
        <w:t xml:space="preserve">[R010] Progression of cerebral amyloid angiopathy: a pathophysiological framework (2023). </w:t>
      </w:r>
      <w:r>
        <w:rPr>
          <w:rFonts w:ascii="Calibri" w:hAnsi="Calibri"/>
          <w:color w:val="000000"/>
          <w:sz w:val="19"/>
        </w:rPr>
        <w:t xml:space="preserve">Lancet Neurology; personal view/framework. </w:t>
      </w:r>
      <w:hyperlink r:id="rId17">
        <w:r>
          <w:rPr>
            <w:rFonts w:ascii="Calibri" w:hAnsi="Calibri"/>
            <w:color w:val="2E74B5"/>
            <w:u w:val="single"/>
          </w:rPr>
          <w:t>Source</w:t>
        </w:r>
      </w:hyperlink>
      <w:r>
        <w:rPr>
          <w:rFonts w:ascii="Calibri" w:hAnsi="Calibri"/>
          <w:i/>
          <w:color w:val="5A626C"/>
          <w:sz w:val="18"/>
        </w:rPr>
        <w:t>. Four-stage sequence across decades.</w:t>
      </w:r>
    </w:p>
    <w:p>
      <w:pPr>
        <w:numPr>
          <w:ilvl w:val="0"/>
          <w:numId w:val="24"/>
        </w:numPr>
        <w:spacing w:before="0" w:after="80" w:line="269" w:lineRule="auto"/>
      </w:pPr>
      <w:r>
        <w:rPr>
          <w:rFonts w:ascii="Calibri" w:hAnsi="Calibri"/>
          <w:b/>
          <w:color w:val="000000"/>
          <w:sz w:val="19"/>
        </w:rPr>
        <w:t xml:space="preserve">[R013] Blood-brain barrier leakage and perivascular inflammation in cerebral amyloid angiopathy (2022). </w:t>
      </w:r>
      <w:r>
        <w:rPr>
          <w:rFonts w:ascii="Calibri" w:hAnsi="Calibri"/>
          <w:color w:val="000000"/>
          <w:sz w:val="19"/>
        </w:rPr>
        <w:t xml:space="preserve">Brain Communications; human pathology. </w:t>
      </w:r>
      <w:hyperlink r:id="rId47">
        <w:r>
          <w:rPr>
            <w:rFonts w:ascii="Calibri" w:hAnsi="Calibri"/>
            <w:color w:val="2E74B5"/>
            <w:u w:val="single"/>
          </w:rPr>
          <w:t>Source</w:t>
        </w:r>
      </w:hyperlink>
      <w:r>
        <w:rPr>
          <w:rFonts w:ascii="Calibri" w:hAnsi="Calibri"/>
          <w:i/>
          <w:color w:val="5A626C"/>
          <w:sz w:val="18"/>
        </w:rPr>
        <w:t>. Vessel-grade localized pathology in seven cases.</w:t>
      </w:r>
    </w:p>
    <w:p>
      <w:pPr>
        <w:numPr>
          <w:ilvl w:val="0"/>
          <w:numId w:val="24"/>
        </w:numPr>
        <w:spacing w:before="0" w:after="80" w:line="269" w:lineRule="auto"/>
      </w:pPr>
      <w:r>
        <w:rPr>
          <w:rFonts w:ascii="Calibri" w:hAnsi="Calibri"/>
          <w:b/>
          <w:color w:val="000000"/>
          <w:sz w:val="19"/>
        </w:rPr>
        <w:t xml:space="preserve">[R012] Perivascular space dilation is associated with vascular amyloid-beta accumulation in the overlying cortex (2022). </w:t>
      </w:r>
      <w:r>
        <w:rPr>
          <w:rFonts w:ascii="Calibri" w:hAnsi="Calibri"/>
          <w:color w:val="000000"/>
          <w:sz w:val="19"/>
        </w:rPr>
        <w:t xml:space="preserve">Acta Neuropathologica; human MRI-pathology. </w:t>
      </w:r>
      <w:hyperlink r:id="rId46">
        <w:r>
          <w:rPr>
            <w:rFonts w:ascii="Calibri" w:hAnsi="Calibri"/>
            <w:color w:val="2E74B5"/>
            <w:u w:val="single"/>
          </w:rPr>
          <w:t>Source</w:t>
        </w:r>
      </w:hyperlink>
      <w:r>
        <w:rPr>
          <w:rFonts w:ascii="Calibri" w:hAnsi="Calibri"/>
          <w:i/>
          <w:color w:val="5A626C"/>
          <w:sz w:val="18"/>
        </w:rPr>
        <w:t>. Spatially localized evidence; association not flow measurement.</w:t>
      </w:r>
    </w:p>
    <w:p>
      <w:pPr>
        <w:numPr>
          <w:ilvl w:val="0"/>
          <w:numId w:val="24"/>
        </w:numPr>
        <w:spacing w:before="0" w:after="80" w:line="269" w:lineRule="auto"/>
      </w:pPr>
      <w:r>
        <w:rPr>
          <w:rFonts w:ascii="Calibri" w:hAnsi="Calibri"/>
          <w:b/>
          <w:color w:val="000000"/>
          <w:sz w:val="19"/>
        </w:rPr>
        <w:t xml:space="preserve">[R006] The Boston criteria version 2.0 for cerebral amyloid angiopathy (2022). </w:t>
      </w:r>
      <w:r>
        <w:rPr>
          <w:rFonts w:ascii="Calibri" w:hAnsi="Calibri"/>
          <w:color w:val="000000"/>
          <w:sz w:val="19"/>
        </w:rPr>
        <w:t xml:space="preserve">Lancet Neurology; diagnostic accuracy. </w:t>
      </w:r>
      <w:hyperlink r:id="rId21">
        <w:r>
          <w:rPr>
            <w:rFonts w:ascii="Calibri" w:hAnsi="Calibri"/>
            <w:color w:val="2E74B5"/>
            <w:u w:val="single"/>
          </w:rPr>
          <w:t>Source</w:t>
        </w:r>
      </w:hyperlink>
      <w:r>
        <w:rPr>
          <w:rFonts w:ascii="Calibri" w:hAnsi="Calibri"/>
          <w:i/>
          <w:color w:val="5A626C"/>
          <w:sz w:val="18"/>
        </w:rPr>
        <w:t>. MRI-neuropathology derivation and validation.</w:t>
      </w:r>
    </w:p>
    <w:p>
      <w:pPr>
        <w:numPr>
          <w:ilvl w:val="0"/>
          <w:numId w:val="24"/>
        </w:numPr>
        <w:spacing w:before="0" w:after="80" w:line="269" w:lineRule="auto"/>
      </w:pPr>
      <w:r>
        <w:rPr>
          <w:rFonts w:ascii="Calibri" w:hAnsi="Calibri"/>
          <w:b/>
          <w:color w:val="000000"/>
          <w:sz w:val="19"/>
        </w:rPr>
        <w:t xml:space="preserve">[R017] ARTS: a novel in-vivo classifier of arteriolosclerosis for the older adult brain (2021). </w:t>
      </w:r>
      <w:r>
        <w:rPr>
          <w:rFonts w:ascii="Calibri" w:hAnsi="Calibri"/>
          <w:color w:val="000000"/>
          <w:sz w:val="19"/>
        </w:rPr>
        <w:t xml:space="preserve">NeuroImage: Clinical; biomarker development. </w:t>
      </w:r>
      <w:hyperlink r:id="rId32">
        <w:r>
          <w:rPr>
            <w:rFonts w:ascii="Calibri" w:hAnsi="Calibri"/>
            <w:color w:val="2E74B5"/>
            <w:u w:val="single"/>
          </w:rPr>
          <w:t>Source</w:t>
        </w:r>
      </w:hyperlink>
      <w:r>
        <w:rPr>
          <w:rFonts w:ascii="Calibri" w:hAnsi="Calibri"/>
          <w:i/>
          <w:color w:val="5A626C"/>
          <w:sz w:val="18"/>
        </w:rPr>
        <w:t>. Pathology-linked development and cognitive validation.</w:t>
      </w:r>
    </w:p>
    <w:p>
      <w:pPr>
        <w:numPr>
          <w:ilvl w:val="0"/>
          <w:numId w:val="24"/>
        </w:numPr>
        <w:spacing w:before="0" w:after="80" w:line="269" w:lineRule="auto"/>
      </w:pPr>
      <w:r>
        <w:rPr>
          <w:rFonts w:ascii="Calibri" w:hAnsi="Calibri"/>
          <w:b/>
          <w:color w:val="000000"/>
          <w:sz w:val="19"/>
        </w:rPr>
        <w:t xml:space="preserve">[R003] Brain arteriolosclerosis (2021). </w:t>
      </w:r>
      <w:r>
        <w:rPr>
          <w:rFonts w:ascii="Calibri" w:hAnsi="Calibri"/>
          <w:color w:val="000000"/>
          <w:sz w:val="19"/>
        </w:rPr>
        <w:t xml:space="preserve">Acta Neuropathologica; review. </w:t>
      </w:r>
      <w:hyperlink r:id="rId13">
        <w:r>
          <w:rPr>
            <w:rFonts w:ascii="Calibri" w:hAnsi="Calibri"/>
            <w:color w:val="2E74B5"/>
            <w:u w:val="single"/>
          </w:rPr>
          <w:t>Source</w:t>
        </w:r>
      </w:hyperlink>
      <w:r>
        <w:rPr>
          <w:rFonts w:ascii="Calibri" w:hAnsi="Calibri"/>
          <w:i/>
          <w:color w:val="5A626C"/>
          <w:sz w:val="18"/>
        </w:rPr>
        <w:t>. Comprehensive pathology-to-clinical review.</w:t>
      </w:r>
    </w:p>
    <w:p>
      <w:pPr>
        <w:numPr>
          <w:ilvl w:val="0"/>
          <w:numId w:val="24"/>
        </w:numPr>
        <w:spacing w:before="0" w:after="80" w:line="269" w:lineRule="auto"/>
      </w:pPr>
      <w:r>
        <w:rPr>
          <w:rFonts w:ascii="Calibri" w:hAnsi="Calibri"/>
          <w:b/>
          <w:color w:val="000000"/>
          <w:sz w:val="19"/>
        </w:rPr>
        <w:t xml:space="preserve">[R007] The Edinburgh CT and genetic diagnostic criteria for lobar intracerebral haemorrhage associated with cerebral amyloid angiopathy (2018). </w:t>
      </w:r>
      <w:r>
        <w:rPr>
          <w:rFonts w:ascii="Calibri" w:hAnsi="Calibri"/>
          <w:color w:val="000000"/>
          <w:sz w:val="19"/>
        </w:rPr>
        <w:t xml:space="preserve">Lancet Neurology; diagnostic accuracy. </w:t>
      </w:r>
      <w:hyperlink r:id="rId23">
        <w:r>
          <w:rPr>
            <w:rFonts w:ascii="Calibri" w:hAnsi="Calibri"/>
            <w:color w:val="2E74B5"/>
            <w:u w:val="single"/>
          </w:rPr>
          <w:t>Source</w:t>
        </w:r>
      </w:hyperlink>
      <w:r>
        <w:rPr>
          <w:rFonts w:ascii="Calibri" w:hAnsi="Calibri"/>
          <w:i/>
          <w:color w:val="5A626C"/>
          <w:sz w:val="18"/>
        </w:rPr>
        <w:t>. CT/APOE model for lobar ICH; requires external validation.</w:t>
      </w:r>
    </w:p>
    <w:p>
      <w:pPr>
        <w:numPr>
          <w:ilvl w:val="0"/>
          <w:numId w:val="24"/>
        </w:numPr>
        <w:spacing w:before="0" w:after="80" w:line="269" w:lineRule="auto"/>
      </w:pPr>
      <w:r>
        <w:rPr>
          <w:rFonts w:ascii="Calibri" w:hAnsi="Calibri"/>
          <w:b/>
          <w:color w:val="000000"/>
          <w:sz w:val="19"/>
        </w:rPr>
        <w:t xml:space="preserve">[R005] Emerging concepts in sporadic cerebral amyloid angiopathy (2017). </w:t>
      </w:r>
      <w:r>
        <w:rPr>
          <w:rFonts w:ascii="Calibri" w:hAnsi="Calibri"/>
          <w:color w:val="000000"/>
          <w:sz w:val="19"/>
        </w:rPr>
        <w:t xml:space="preserve">Brain; review. </w:t>
      </w:r>
      <w:hyperlink r:id="rId14">
        <w:r>
          <w:rPr>
            <w:rFonts w:ascii="Calibri" w:hAnsi="Calibri"/>
            <w:color w:val="2E74B5"/>
            <w:u w:val="single"/>
          </w:rPr>
          <w:t>Source</w:t>
        </w:r>
      </w:hyperlink>
      <w:r>
        <w:rPr>
          <w:rFonts w:ascii="Calibri" w:hAnsi="Calibri"/>
          <w:i/>
          <w:color w:val="5A626C"/>
          <w:sz w:val="18"/>
        </w:rPr>
        <w:t>. Foundational modern mechanistic synthesis.</w:t>
      </w:r>
    </w:p>
    <w:p>
      <w:pPr>
        <w:numPr>
          <w:ilvl w:val="0"/>
          <w:numId w:val="24"/>
        </w:numPr>
        <w:spacing w:before="0" w:after="80" w:line="269" w:lineRule="auto"/>
      </w:pPr>
      <w:r>
        <w:rPr>
          <w:rFonts w:ascii="Calibri" w:hAnsi="Calibri"/>
          <w:b/>
          <w:color w:val="000000"/>
          <w:sz w:val="19"/>
        </w:rPr>
        <w:t xml:space="preserve">[R008] Validation of clinicoradiological criteria for the diagnosis of cerebral amyloid angiopathy-related inflammation (2016). </w:t>
      </w:r>
      <w:r>
        <w:rPr>
          <w:rFonts w:ascii="Calibri" w:hAnsi="Calibri"/>
          <w:color w:val="000000"/>
          <w:sz w:val="19"/>
        </w:rPr>
        <w:t xml:space="preserve">JAMA Neurology; diagnostic accuracy. </w:t>
      </w:r>
      <w:hyperlink r:id="rId24">
        <w:r>
          <w:rPr>
            <w:rFonts w:ascii="Calibri" w:hAnsi="Calibri"/>
            <w:color w:val="2E74B5"/>
            <w:u w:val="single"/>
          </w:rPr>
          <w:t>Source</w:t>
        </w:r>
      </w:hyperlink>
      <w:r>
        <w:rPr>
          <w:rFonts w:ascii="Calibri" w:hAnsi="Calibri"/>
          <w:i/>
          <w:color w:val="5A626C"/>
          <w:sz w:val="18"/>
        </w:rPr>
        <w:t>. Probable CAA-ri sensitivity/specificity study.</w:t>
      </w:r>
    </w:p>
    <w:p>
      <w:pPr>
        <w:numPr>
          <w:ilvl w:val="0"/>
          <w:numId w:val="24"/>
        </w:numPr>
        <w:spacing w:before="0" w:after="80" w:line="269" w:lineRule="auto"/>
      </w:pPr>
      <w:r>
        <w:rPr>
          <w:rFonts w:ascii="Calibri" w:hAnsi="Calibri"/>
          <w:b/>
          <w:color w:val="000000"/>
          <w:sz w:val="19"/>
        </w:rPr>
        <w:t xml:space="preserve">[R025] Vascular cognitive impairment neuropathology guidelines (2016). </w:t>
      </w:r>
      <w:r>
        <w:rPr>
          <w:rFonts w:ascii="Calibri" w:hAnsi="Calibri"/>
          <w:color w:val="000000"/>
          <w:sz w:val="19"/>
        </w:rPr>
        <w:t xml:space="preserve">Brain; consensus/validation. </w:t>
      </w:r>
      <w:hyperlink r:id="rId27">
        <w:r>
          <w:rPr>
            <w:rFonts w:ascii="Calibri" w:hAnsi="Calibri"/>
            <w:color w:val="2E74B5"/>
            <w:u w:val="single"/>
          </w:rPr>
          <w:t>Source</w:t>
        </w:r>
      </w:hyperlink>
      <w:r>
        <w:rPr>
          <w:rFonts w:ascii="Calibri" w:hAnsi="Calibri"/>
          <w:i/>
          <w:color w:val="5A626C"/>
          <w:sz w:val="18"/>
        </w:rPr>
        <w:t>. Neuropathologic contribution-to-cognition framework.</w:t>
      </w:r>
    </w:p>
    <w:p>
      <w:pPr>
        <w:numPr>
          <w:ilvl w:val="0"/>
          <w:numId w:val="24"/>
        </w:numPr>
        <w:spacing w:before="0" w:after="80" w:line="269" w:lineRule="auto"/>
      </w:pPr>
      <w:r>
        <w:rPr>
          <w:rFonts w:ascii="Calibri" w:hAnsi="Calibri"/>
          <w:b/>
          <w:color w:val="000000"/>
          <w:sz w:val="19"/>
        </w:rPr>
        <w:t xml:space="preserve">[R002] Neuroimaging standards for research into small vessel disease and its contribution to ageing and neurodegeneration (2013). </w:t>
      </w:r>
      <w:r>
        <w:rPr>
          <w:rFonts w:ascii="Calibri" w:hAnsi="Calibri"/>
          <w:color w:val="000000"/>
          <w:sz w:val="19"/>
        </w:rPr>
        <w:t xml:space="preserve">Lancet Neurology; consensus/position paper. </w:t>
      </w:r>
      <w:hyperlink r:id="rId22">
        <w:r>
          <w:rPr>
            <w:rFonts w:ascii="Calibri" w:hAnsi="Calibri"/>
            <w:color w:val="2E74B5"/>
            <w:u w:val="single"/>
          </w:rPr>
          <w:t>Source</w:t>
        </w:r>
      </w:hyperlink>
      <w:r>
        <w:rPr>
          <w:rFonts w:ascii="Calibri" w:hAnsi="Calibri"/>
          <w:i/>
          <w:color w:val="5A626C"/>
          <w:sz w:val="18"/>
        </w:rPr>
        <w:t>. Original standardized MRI feature definitions.</w:t>
      </w:r>
    </w:p>
    <w:p>
      <w:bookmarkStart w:id="185" w:name="section_176"/>
      <w:pPr>
        <w:pStyle w:val="Heading2"/>
      </w:pPr>
      <w:r>
        <w:t>High sources</w:t>
      </w:r>
      <w:bookmarkEnd w:id="185"/>
    </w:p>
    <w:p>
      <w:pPr>
        <w:numPr>
          <w:ilvl w:val="0"/>
          <w:numId w:val="24"/>
        </w:numPr>
        <w:spacing w:before="0" w:after="80" w:line="269" w:lineRule="auto"/>
      </w:pPr>
      <w:r>
        <w:rPr>
          <w:rFonts w:ascii="Calibri" w:hAnsi="Calibri"/>
          <w:b/>
          <w:color w:val="000000"/>
          <w:sz w:val="19"/>
        </w:rPr>
        <w:t xml:space="preserve">[R040] Amyloid-related imaging abnormalities in anti-amyloid therapies: update from the Alzheimer's Association ARIA workgroup (2026). </w:t>
      </w:r>
      <w:r>
        <w:rPr>
          <w:rFonts w:ascii="Calibri" w:hAnsi="Calibri"/>
          <w:color w:val="000000"/>
          <w:sz w:val="19"/>
        </w:rPr>
        <w:t xml:space="preserve">Alzheimer's &amp; Dementia; workgroup review. </w:t>
      </w:r>
      <w:hyperlink r:id="rId59">
        <w:r>
          <w:rPr>
            <w:rFonts w:ascii="Calibri" w:hAnsi="Calibri"/>
            <w:color w:val="2E74B5"/>
            <w:u w:val="single"/>
          </w:rPr>
          <w:t>Source</w:t>
        </w:r>
      </w:hyperlink>
      <w:r>
        <w:rPr>
          <w:rFonts w:ascii="Calibri" w:hAnsi="Calibri"/>
          <w:i/>
          <w:color w:val="5A626C"/>
          <w:sz w:val="18"/>
        </w:rPr>
        <w:t>. State-of-science recommendations; explicitly not a practice guideline.</w:t>
      </w:r>
    </w:p>
    <w:p>
      <w:pPr>
        <w:numPr>
          <w:ilvl w:val="0"/>
          <w:numId w:val="24"/>
        </w:numPr>
        <w:spacing w:before="0" w:after="80" w:line="269" w:lineRule="auto"/>
      </w:pPr>
      <w:r>
        <w:rPr>
          <w:rFonts w:ascii="Calibri" w:hAnsi="Calibri"/>
          <w:b/>
          <w:color w:val="000000"/>
          <w:sz w:val="19"/>
        </w:rPr>
        <w:t xml:space="preserve">[R061] Clinical-radiological spectrum of cerebral amyloid angiopathy-related inflammation (2026). </w:t>
      </w:r>
      <w:r>
        <w:rPr>
          <w:rFonts w:ascii="Calibri" w:hAnsi="Calibri"/>
          <w:color w:val="000000"/>
          <w:sz w:val="19"/>
        </w:rPr>
        <w:t xml:space="preserve">Annals of Neurology; retrospective comparative cohort. </w:t>
      </w:r>
      <w:hyperlink r:id="rId69">
        <w:r>
          <w:rPr>
            <w:rFonts w:ascii="Calibri" w:hAnsi="Calibri"/>
            <w:color w:val="2E74B5"/>
            <w:u w:val="single"/>
          </w:rPr>
          <w:t>Source</w:t>
        </w:r>
      </w:hyperlink>
      <w:r>
        <w:rPr>
          <w:rFonts w:ascii="Calibri" w:hAnsi="Calibri"/>
          <w:i/>
          <w:color w:val="5A626C"/>
          <w:sz w:val="18"/>
        </w:rPr>
        <w:t>. Compared 37 CAA-ri and 158 non-inflammatory sporadic CAA cases; ARIA-E features were much more frequent in CAA-ri.</w:t>
      </w:r>
    </w:p>
    <w:p>
      <w:pPr>
        <w:numPr>
          <w:ilvl w:val="0"/>
          <w:numId w:val="24"/>
        </w:numPr>
        <w:spacing w:before="0" w:after="80" w:line="269" w:lineRule="auto"/>
      </w:pPr>
      <w:r>
        <w:rPr>
          <w:rFonts w:ascii="Calibri" w:hAnsi="Calibri"/>
          <w:b/>
          <w:color w:val="000000"/>
          <w:sz w:val="19"/>
        </w:rPr>
        <w:t xml:space="preserve">[R053] Fluid biomarkers in cerebral amyloid angiopathy: current limitations and future directions (2026). </w:t>
      </w:r>
      <w:r>
        <w:rPr>
          <w:rFonts w:ascii="Calibri" w:hAnsi="Calibri"/>
          <w:color w:val="000000"/>
          <w:sz w:val="19"/>
        </w:rPr>
        <w:t xml:space="preserve">Expert Review of Neurotherapeutics; review. </w:t>
      </w:r>
      <w:hyperlink r:id="rId65">
        <w:r>
          <w:rPr>
            <w:rFonts w:ascii="Calibri" w:hAnsi="Calibri"/>
            <w:color w:val="2E74B5"/>
            <w:u w:val="single"/>
          </w:rPr>
          <w:t>Source</w:t>
        </w:r>
      </w:hyperlink>
      <w:r>
        <w:rPr>
          <w:rFonts w:ascii="Calibri" w:hAnsi="Calibri"/>
          <w:i/>
          <w:color w:val="5A626C"/>
          <w:sz w:val="18"/>
        </w:rPr>
        <w:t>. Current review concludes that no fluid marker has sufficient specificity and validation for routine CAA diagnosis.</w:t>
      </w:r>
    </w:p>
    <w:p>
      <w:pPr>
        <w:numPr>
          <w:ilvl w:val="0"/>
          <w:numId w:val="24"/>
        </w:numPr>
        <w:spacing w:before="0" w:after="80" w:line="269" w:lineRule="auto"/>
      </w:pPr>
      <w:r>
        <w:rPr>
          <w:rFonts w:ascii="Calibri" w:hAnsi="Calibri"/>
          <w:b/>
          <w:color w:val="000000"/>
          <w:sz w:val="19"/>
        </w:rPr>
        <w:t xml:space="preserve">[R019] ARTS is associated with vascular risk factors, MCI, dementia, and stroke (2025). </w:t>
      </w:r>
      <w:r>
        <w:rPr>
          <w:rFonts w:ascii="Calibri" w:hAnsi="Calibri"/>
          <w:color w:val="000000"/>
          <w:sz w:val="19"/>
        </w:rPr>
        <w:t xml:space="preserve">Alzheimer's &amp; Dementia; longitudinal cohort. </w:t>
      </w:r>
      <w:hyperlink r:id="rId58">
        <w:r>
          <w:rPr>
            <w:rFonts w:ascii="Calibri" w:hAnsi="Calibri"/>
            <w:color w:val="2E74B5"/>
            <w:u w:val="single"/>
          </w:rPr>
          <w:t>Source</w:t>
        </w:r>
      </w:hyperlink>
      <w:r>
        <w:rPr>
          <w:rFonts w:ascii="Calibri" w:hAnsi="Calibri"/>
          <w:i/>
          <w:color w:val="5A626C"/>
          <w:sz w:val="18"/>
        </w:rPr>
        <w:t>. Diverse cohort; subgroup heterogeneity should be retained.</w:t>
      </w:r>
    </w:p>
    <w:p>
      <w:pPr>
        <w:numPr>
          <w:ilvl w:val="0"/>
          <w:numId w:val="24"/>
        </w:numPr>
        <w:spacing w:before="0" w:after="80" w:line="269" w:lineRule="auto"/>
      </w:pPr>
      <w:r>
        <w:rPr>
          <w:rFonts w:ascii="Calibri" w:hAnsi="Calibri"/>
          <w:b/>
          <w:color w:val="000000"/>
          <w:sz w:val="19"/>
        </w:rPr>
        <w:t xml:space="preserve">[R059] Cerebral amyloid angiopathy and amyloid load distribution detected on amyloid-positron emission tomography: a systematic review and meta-analysis (2025). </w:t>
      </w:r>
      <w:r>
        <w:rPr>
          <w:rFonts w:ascii="Calibri" w:hAnsi="Calibri"/>
          <w:color w:val="000000"/>
          <w:sz w:val="19"/>
        </w:rPr>
        <w:t xml:space="preserve">European Stroke Journal; systematic review and meta-analysis. </w:t>
      </w:r>
      <w:hyperlink r:id="rId70">
        <w:r>
          <w:rPr>
            <w:rFonts w:ascii="Calibri" w:hAnsi="Calibri"/>
            <w:color w:val="2E74B5"/>
            <w:u w:val="single"/>
          </w:rPr>
          <w:t>Source</w:t>
        </w:r>
      </w:hyperlink>
      <w:r>
        <w:rPr>
          <w:rFonts w:ascii="Calibri" w:hAnsi="Calibri"/>
          <w:i/>
          <w:color w:val="5A626C"/>
          <w:sz w:val="18"/>
        </w:rPr>
        <w:t>. Sixteen prospective cohorts and 271 CAA participants; regional PET patterns are promising but require pathology-linked validation.</w:t>
      </w:r>
    </w:p>
    <w:p>
      <w:pPr>
        <w:numPr>
          <w:ilvl w:val="0"/>
          <w:numId w:val="24"/>
        </w:numPr>
        <w:spacing w:before="0" w:after="80" w:line="269" w:lineRule="auto"/>
      </w:pPr>
      <w:r>
        <w:rPr>
          <w:rFonts w:ascii="Calibri" w:hAnsi="Calibri"/>
          <w:b/>
          <w:color w:val="000000"/>
          <w:sz w:val="19"/>
        </w:rPr>
        <w:t xml:space="preserve">[R050] Relationship between cerebral small vessel disease and proteinopathies in the medial temporal lobe (2025). </w:t>
      </w:r>
      <w:r>
        <w:rPr>
          <w:rFonts w:ascii="Calibri" w:hAnsi="Calibri"/>
          <w:color w:val="000000"/>
          <w:sz w:val="19"/>
        </w:rPr>
        <w:t xml:space="preserve">Communications Biology; quantitative autopsy study. </w:t>
      </w:r>
      <w:hyperlink r:id="rId56">
        <w:r>
          <w:rPr>
            <w:rFonts w:ascii="Calibri" w:hAnsi="Calibri"/>
            <w:color w:val="2E74B5"/>
            <w:u w:val="single"/>
          </w:rPr>
          <w:t>Source</w:t>
        </w:r>
      </w:hyperlink>
      <w:r>
        <w:rPr>
          <w:rFonts w:ascii="Calibri" w:hAnsi="Calibri"/>
          <w:i/>
          <w:color w:val="5A626C"/>
          <w:sz w:val="18"/>
        </w:rPr>
        <w:t>. 152 cases; AI and manual pathology measures across MTL.</w:t>
      </w:r>
    </w:p>
    <w:p>
      <w:pPr>
        <w:numPr>
          <w:ilvl w:val="0"/>
          <w:numId w:val="24"/>
        </w:numPr>
        <w:spacing w:before="0" w:after="80" w:line="269" w:lineRule="auto"/>
      </w:pPr>
      <w:r>
        <w:rPr>
          <w:rFonts w:ascii="Calibri" w:hAnsi="Calibri"/>
          <w:b/>
          <w:color w:val="000000"/>
          <w:sz w:val="19"/>
        </w:rPr>
        <w:t xml:space="preserve">[R038] The pathogenesis of cerebral small vessel disease and vascular cognitive impairment (2025). </w:t>
      </w:r>
      <w:r>
        <w:rPr>
          <w:rFonts w:ascii="Calibri" w:hAnsi="Calibri"/>
          <w:color w:val="000000"/>
          <w:sz w:val="19"/>
        </w:rPr>
        <w:t xml:space="preserve">Physiological Reviews; review. </w:t>
      </w:r>
      <w:hyperlink r:id="rId81">
        <w:r>
          <w:rPr>
            <w:rFonts w:ascii="Calibri" w:hAnsi="Calibri"/>
            <w:color w:val="2E74B5"/>
            <w:u w:val="single"/>
          </w:rPr>
          <w:t>Source</w:t>
        </w:r>
      </w:hyperlink>
      <w:r>
        <w:rPr>
          <w:rFonts w:ascii="Calibri" w:hAnsi="Calibri"/>
          <w:i/>
          <w:color w:val="5A626C"/>
          <w:sz w:val="18"/>
        </w:rPr>
        <w:t>. Detailed modern physiology/pathogenesis review.</w:t>
      </w:r>
    </w:p>
    <w:p>
      <w:pPr>
        <w:numPr>
          <w:ilvl w:val="0"/>
          <w:numId w:val="24"/>
        </w:numPr>
        <w:spacing w:before="0" w:after="80" w:line="269" w:lineRule="auto"/>
      </w:pPr>
      <w:r>
        <w:rPr>
          <w:rFonts w:ascii="Calibri" w:hAnsi="Calibri"/>
          <w:b/>
          <w:color w:val="000000"/>
          <w:sz w:val="19"/>
        </w:rPr>
        <w:t xml:space="preserve">[R060] Association of cerebrovascular reactivity with 1-year imaging and clinical outcomes in small vessel disease: an observational cohort study (2024). </w:t>
      </w:r>
      <w:r>
        <w:rPr>
          <w:rFonts w:ascii="Calibri" w:hAnsi="Calibri"/>
          <w:color w:val="000000"/>
          <w:sz w:val="19"/>
        </w:rPr>
        <w:t xml:space="preserve">Neurology; prospective observational cohort. </w:t>
      </w:r>
      <w:hyperlink r:id="rId67">
        <w:r>
          <w:rPr>
            <w:rFonts w:ascii="Calibri" w:hAnsi="Calibri"/>
            <w:color w:val="2E74B5"/>
            <w:u w:val="single"/>
          </w:rPr>
          <w:t>Source</w:t>
        </w:r>
      </w:hyperlink>
      <w:r>
        <w:rPr>
          <w:rFonts w:ascii="Calibri" w:hAnsi="Calibri"/>
          <w:i/>
          <w:color w:val="5A626C"/>
          <w:sz w:val="18"/>
        </w:rPr>
        <w:t>. Mild Stroke Study 3; 163 participants with adequate baseline CVR and follow-up MRI; lower CVR predicted WMH and PVS progression but not 1-year clinical outcomes.</w:t>
      </w:r>
    </w:p>
    <w:p>
      <w:pPr>
        <w:numPr>
          <w:ilvl w:val="0"/>
          <w:numId w:val="24"/>
        </w:numPr>
        <w:spacing w:before="0" w:after="80" w:line="269" w:lineRule="auto"/>
      </w:pPr>
      <w:r>
        <w:rPr>
          <w:rFonts w:ascii="Calibri" w:hAnsi="Calibri"/>
          <w:b/>
          <w:color w:val="000000"/>
          <w:sz w:val="19"/>
        </w:rPr>
        <w:t xml:space="preserve">[R022] Biological validation of peak-width of skeletonized mean diffusivity as a VCID biomarker (2024). </w:t>
      </w:r>
      <w:r>
        <w:rPr>
          <w:rFonts w:ascii="Calibri" w:hAnsi="Calibri"/>
          <w:color w:val="000000"/>
          <w:sz w:val="19"/>
        </w:rPr>
        <w:t xml:space="preserve">Alzheimer's &amp; Dementia; biomarker validation. </w:t>
      </w:r>
      <w:hyperlink r:id="rId77">
        <w:r>
          <w:rPr>
            <w:rFonts w:ascii="Calibri" w:hAnsi="Calibri"/>
            <w:color w:val="2E74B5"/>
            <w:u w:val="single"/>
          </w:rPr>
          <w:t>Source</w:t>
        </w:r>
      </w:hyperlink>
      <w:r>
        <w:rPr>
          <w:rFonts w:ascii="Calibri" w:hAnsi="Calibri"/>
          <w:i/>
          <w:color w:val="5A626C"/>
          <w:sz w:val="18"/>
        </w:rPr>
        <w:t>. Cognition association beyond WMH in several cohorts.</w:t>
      </w:r>
    </w:p>
    <w:p>
      <w:pPr>
        <w:numPr>
          <w:ilvl w:val="0"/>
          <w:numId w:val="24"/>
        </w:numPr>
        <w:spacing w:before="0" w:after="80" w:line="269" w:lineRule="auto"/>
      </w:pPr>
      <w:r>
        <w:rPr>
          <w:rFonts w:ascii="Calibri" w:hAnsi="Calibri"/>
          <w:b/>
          <w:color w:val="000000"/>
          <w:sz w:val="19"/>
        </w:rPr>
        <w:t xml:space="preserve">[R058] Blood-based biomarkers of cerebral small vessel disease (2024). </w:t>
      </w:r>
      <w:r>
        <w:rPr>
          <w:rFonts w:ascii="Calibri" w:hAnsi="Calibri"/>
          <w:color w:val="000000"/>
          <w:sz w:val="19"/>
        </w:rPr>
        <w:t xml:space="preserve">Ageing Research Reviews; narrative review. </w:t>
      </w:r>
      <w:hyperlink r:id="rId73">
        <w:r>
          <w:rPr>
            <w:rFonts w:ascii="Calibri" w:hAnsi="Calibri"/>
            <w:color w:val="2E74B5"/>
            <w:u w:val="single"/>
          </w:rPr>
          <w:t>Source</w:t>
        </w:r>
      </w:hyperlink>
      <w:r>
        <w:rPr>
          <w:rFonts w:ascii="Calibri" w:hAnsi="Calibri"/>
          <w:i/>
          <w:color w:val="5A626C"/>
          <w:sz w:val="18"/>
        </w:rPr>
        <w:t>. Reviews endothelial, inflammatory, oxidative, pericyte, and cardiovascular biomarker candidates; emphasizes validation needs.</w:t>
      </w:r>
    </w:p>
    <w:p>
      <w:pPr>
        <w:numPr>
          <w:ilvl w:val="0"/>
          <w:numId w:val="24"/>
        </w:numPr>
        <w:spacing w:before="0" w:after="80" w:line="269" w:lineRule="auto"/>
      </w:pPr>
      <w:r>
        <w:rPr>
          <w:rFonts w:ascii="Calibri" w:hAnsi="Calibri"/>
          <w:b/>
          <w:color w:val="000000"/>
          <w:sz w:val="19"/>
        </w:rPr>
        <w:t xml:space="preserve">[R041] Cardiovascular management in asymptomatic cerebral microbleeds and suspected CAA (2024). </w:t>
      </w:r>
      <w:r>
        <w:rPr>
          <w:rFonts w:ascii="Calibri" w:hAnsi="Calibri"/>
          <w:color w:val="000000"/>
          <w:sz w:val="19"/>
        </w:rPr>
        <w:t xml:space="preserve">Stroke; review. </w:t>
      </w:r>
      <w:hyperlink r:id="rId82">
        <w:r>
          <w:rPr>
            <w:rFonts w:ascii="Calibri" w:hAnsi="Calibri"/>
            <w:color w:val="2E74B5"/>
            <w:u w:val="single"/>
          </w:rPr>
          <w:t>Source</w:t>
        </w:r>
      </w:hyperlink>
      <w:r>
        <w:rPr>
          <w:rFonts w:ascii="Calibri" w:hAnsi="Calibri"/>
          <w:i/>
          <w:color w:val="5A626C"/>
          <w:sz w:val="18"/>
        </w:rPr>
        <w:t>. Risk framing for incidental markers.</w:t>
      </w:r>
    </w:p>
    <w:p>
      <w:pPr>
        <w:numPr>
          <w:ilvl w:val="0"/>
          <w:numId w:val="24"/>
        </w:numPr>
        <w:spacing w:before="0" w:after="80" w:line="269" w:lineRule="auto"/>
      </w:pPr>
      <w:r>
        <w:rPr>
          <w:rFonts w:ascii="Calibri" w:hAnsi="Calibri"/>
          <w:b/>
          <w:color w:val="000000"/>
          <w:sz w:val="19"/>
        </w:rPr>
        <w:t xml:space="preserve">[R054] Cerebrovascular reactivity MRI as a biomarker for cerebral small vessel disease-related cognitive decline: Multi-site validation in the MarkVCID Consortium (2024). </w:t>
      </w:r>
      <w:r>
        <w:rPr>
          <w:rFonts w:ascii="Calibri" w:hAnsi="Calibri"/>
          <w:color w:val="000000"/>
          <w:sz w:val="19"/>
        </w:rPr>
        <w:t xml:space="preserve">Alzheimer's &amp; Dementia; multisite validation study. </w:t>
      </w:r>
      <w:hyperlink r:id="rId66">
        <w:r>
          <w:rPr>
            <w:rFonts w:ascii="Calibri" w:hAnsi="Calibri"/>
            <w:color w:val="2E74B5"/>
            <w:u w:val="single"/>
          </w:rPr>
          <w:t>Source</w:t>
        </w:r>
      </w:hyperlink>
      <w:r>
        <w:rPr>
          <w:rFonts w:ascii="Calibri" w:hAnsi="Calibri"/>
          <w:i/>
          <w:color w:val="5A626C"/>
          <w:sz w:val="18"/>
        </w:rPr>
        <w:t>. Predefined multisite analysis; N=263; CVR was associated with global and executive cognition across sites.</w:t>
      </w:r>
    </w:p>
    <w:p>
      <w:pPr>
        <w:numPr>
          <w:ilvl w:val="0"/>
          <w:numId w:val="24"/>
        </w:numPr>
        <w:spacing w:before="0" w:after="80" w:line="269" w:lineRule="auto"/>
      </w:pPr>
      <w:r>
        <w:rPr>
          <w:rFonts w:ascii="Calibri" w:hAnsi="Calibri"/>
          <w:b/>
          <w:color w:val="000000"/>
          <w:sz w:val="19"/>
        </w:rPr>
        <w:t xml:space="preserve">[R057] Clinical, neuroimaging, and genetic markers in cerebral amyloid angiopathy-related inflammation: a systematic review and meta-analysis (2023). </w:t>
      </w:r>
      <w:r>
        <w:rPr>
          <w:rFonts w:ascii="Calibri" w:hAnsi="Calibri"/>
          <w:color w:val="000000"/>
          <w:sz w:val="19"/>
        </w:rPr>
        <w:t xml:space="preserve">Stroke; systematic review and meta-analysis. </w:t>
      </w:r>
      <w:hyperlink r:id="rId68">
        <w:r>
          <w:rPr>
            <w:rFonts w:ascii="Calibri" w:hAnsi="Calibri"/>
            <w:color w:val="2E74B5"/>
            <w:u w:val="single"/>
          </w:rPr>
          <w:t>Source</w:t>
        </w:r>
      </w:hyperlink>
      <w:r>
        <w:rPr>
          <w:rFonts w:ascii="Calibri" w:hAnsi="Calibri"/>
          <w:i/>
          <w:color w:val="5A626C"/>
          <w:sz w:val="18"/>
        </w:rPr>
        <w:t>. Twenty-one cohorts and 378 patients; pooled clinical and imaging feature prevalence with substantial heterogeneity for many estimates.</w:t>
      </w:r>
    </w:p>
    <w:p>
      <w:pPr>
        <w:numPr>
          <w:ilvl w:val="0"/>
          <w:numId w:val="24"/>
        </w:numPr>
        <w:spacing w:before="0" w:after="80" w:line="269" w:lineRule="auto"/>
      </w:pPr>
      <w:r>
        <w:rPr>
          <w:rFonts w:ascii="Calibri" w:hAnsi="Calibri"/>
          <w:b/>
          <w:color w:val="000000"/>
          <w:sz w:val="19"/>
        </w:rPr>
        <w:t xml:space="preserve">[R034] LATE-NC staging in routine neuropathologic diagnosis: an update (2023). </w:t>
      </w:r>
      <w:r>
        <w:rPr>
          <w:rFonts w:ascii="Calibri" w:hAnsi="Calibri"/>
          <w:color w:val="000000"/>
          <w:sz w:val="19"/>
        </w:rPr>
        <w:t xml:space="preserve">Acta Neuropathologica; consensus. </w:t>
      </w:r>
      <w:hyperlink r:id="rId55">
        <w:r>
          <w:rPr>
            <w:rFonts w:ascii="Calibri" w:hAnsi="Calibri"/>
            <w:color w:val="2E74B5"/>
            <w:u w:val="single"/>
          </w:rPr>
          <w:t>Source</w:t>
        </w:r>
      </w:hyperlink>
      <w:r>
        <w:rPr>
          <w:rFonts w:ascii="Calibri" w:hAnsi="Calibri"/>
          <w:i/>
          <w:color w:val="5A626C"/>
          <w:sz w:val="18"/>
        </w:rPr>
        <w:t>. Necessary for mixed-pathology attribution.</w:t>
      </w:r>
    </w:p>
    <w:p>
      <w:pPr>
        <w:numPr>
          <w:ilvl w:val="0"/>
          <w:numId w:val="24"/>
        </w:numPr>
        <w:spacing w:before="0" w:after="80" w:line="269" w:lineRule="auto"/>
      </w:pPr>
      <w:r>
        <w:rPr>
          <w:rFonts w:ascii="Calibri" w:hAnsi="Calibri"/>
          <w:b/>
          <w:color w:val="000000"/>
          <w:sz w:val="19"/>
        </w:rPr>
        <w:t xml:space="preserve">[R021] Instrumental validation of free water, PSMD, and white matter hyperintensities (2022). </w:t>
      </w:r>
      <w:r>
        <w:rPr>
          <w:rFonts w:ascii="Calibri" w:hAnsi="Calibri"/>
          <w:color w:val="000000"/>
          <w:sz w:val="19"/>
        </w:rPr>
        <w:t xml:space="preserve">Alzheimer's &amp; Dementia; multisite validation. </w:t>
      </w:r>
      <w:hyperlink r:id="rId76">
        <w:r>
          <w:rPr>
            <w:rFonts w:ascii="Calibri" w:hAnsi="Calibri"/>
            <w:color w:val="2E74B5"/>
            <w:u w:val="single"/>
          </w:rPr>
          <w:t>Source</w:t>
        </w:r>
      </w:hyperlink>
      <w:r>
        <w:rPr>
          <w:rFonts w:ascii="Calibri" w:hAnsi="Calibri"/>
          <w:i/>
          <w:color w:val="5A626C"/>
          <w:sz w:val="18"/>
        </w:rPr>
        <w:t>. Reliability and reproducibility; not etiologic specificity.</w:t>
      </w:r>
    </w:p>
    <w:p>
      <w:pPr>
        <w:numPr>
          <w:ilvl w:val="0"/>
          <w:numId w:val="24"/>
        </w:numPr>
        <w:spacing w:before="0" w:after="80" w:line="269" w:lineRule="auto"/>
      </w:pPr>
      <w:r>
        <w:rPr>
          <w:rFonts w:ascii="Calibri" w:hAnsi="Calibri"/>
          <w:b/>
          <w:color w:val="000000"/>
          <w:sz w:val="19"/>
        </w:rPr>
        <w:t xml:space="preserve">[R056] Main features of hereditary cerebral amyloid angiopathies: a systematic review (2022). </w:t>
      </w:r>
      <w:r>
        <w:rPr>
          <w:rFonts w:ascii="Calibri" w:hAnsi="Calibri"/>
          <w:color w:val="000000"/>
          <w:sz w:val="19"/>
        </w:rPr>
        <w:t xml:space="preserve">Cerebral Circulation - Cognition and Behavior; systematic review. </w:t>
      </w:r>
      <w:hyperlink r:id="rId72">
        <w:r>
          <w:rPr>
            <w:rFonts w:ascii="Calibri" w:hAnsi="Calibri"/>
            <w:color w:val="2E74B5"/>
            <w:u w:val="single"/>
          </w:rPr>
          <w:t>Source</w:t>
        </w:r>
      </w:hyperlink>
      <w:r>
        <w:rPr>
          <w:rFonts w:ascii="Calibri" w:hAnsi="Calibri"/>
          <w:i/>
          <w:color w:val="5A626C"/>
          <w:sz w:val="18"/>
        </w:rPr>
        <w:t>. Maps genetics, pathogenesis, neuroimaging, neuropathology, and clinical manifestations of hereditary CAA.</w:t>
      </w:r>
    </w:p>
    <w:p>
      <w:pPr>
        <w:numPr>
          <w:ilvl w:val="0"/>
          <w:numId w:val="24"/>
        </w:numPr>
        <w:spacing w:before="0" w:after="80" w:line="269" w:lineRule="auto"/>
      </w:pPr>
      <w:r>
        <w:rPr>
          <w:rFonts w:ascii="Calibri" w:hAnsi="Calibri"/>
          <w:b/>
          <w:color w:val="000000"/>
          <w:sz w:val="19"/>
        </w:rPr>
        <w:t xml:space="preserve">[R016] Deep learning assisted quantitative assessment of histopathological markers of Alzheimer's disease and cerebral amyloid angiopathy (2021). </w:t>
      </w:r>
      <w:r>
        <w:rPr>
          <w:rFonts w:ascii="Calibri" w:hAnsi="Calibri"/>
          <w:color w:val="000000"/>
          <w:sz w:val="19"/>
        </w:rPr>
        <w:t xml:space="preserve">Acta Neuropathologica Communications; methods. </w:t>
      </w:r>
      <w:hyperlink r:id="rId74">
        <w:r>
          <w:rPr>
            <w:rFonts w:ascii="Calibri" w:hAnsi="Calibri"/>
            <w:color w:val="2E74B5"/>
            <w:u w:val="single"/>
          </w:rPr>
          <w:t>Source</w:t>
        </w:r>
      </w:hyperlink>
      <w:r>
        <w:rPr>
          <w:rFonts w:ascii="Calibri" w:hAnsi="Calibri"/>
          <w:i/>
          <w:color w:val="5A626C"/>
          <w:sz w:val="18"/>
        </w:rPr>
        <w:t>. Marker-specific deep-learning models.</w:t>
      </w:r>
    </w:p>
    <w:p>
      <w:pPr>
        <w:numPr>
          <w:ilvl w:val="0"/>
          <w:numId w:val="24"/>
        </w:numPr>
        <w:spacing w:before="0" w:after="80" w:line="269" w:lineRule="auto"/>
      </w:pPr>
      <w:r>
        <w:rPr>
          <w:rFonts w:ascii="Calibri" w:hAnsi="Calibri"/>
          <w:b/>
          <w:color w:val="000000"/>
          <w:sz w:val="19"/>
        </w:rPr>
        <w:t xml:space="preserve">[R020] MarkVCID cerebral small vessel consortium: enrollment, clinical, fluid protocols (2021). </w:t>
      </w:r>
      <w:r>
        <w:rPr>
          <w:rFonts w:ascii="Calibri" w:hAnsi="Calibri"/>
          <w:color w:val="000000"/>
          <w:sz w:val="19"/>
        </w:rPr>
        <w:t xml:space="preserve">Alzheimer's &amp; Dementia; methods. </w:t>
      </w:r>
      <w:hyperlink r:id="rId78">
        <w:r>
          <w:rPr>
            <w:rFonts w:ascii="Calibri" w:hAnsi="Calibri"/>
            <w:color w:val="2E74B5"/>
            <w:u w:val="single"/>
          </w:rPr>
          <w:t>Source</w:t>
        </w:r>
      </w:hyperlink>
      <w:r>
        <w:rPr>
          <w:rFonts w:ascii="Calibri" w:hAnsi="Calibri"/>
          <w:i/>
          <w:color w:val="5A626C"/>
          <w:sz w:val="18"/>
        </w:rPr>
        <w:t>. Biomarker-kit and context-of-use framework.</w:t>
      </w:r>
    </w:p>
    <w:p>
      <w:pPr>
        <w:numPr>
          <w:ilvl w:val="0"/>
          <w:numId w:val="24"/>
        </w:numPr>
        <w:spacing w:before="0" w:after="80" w:line="269" w:lineRule="auto"/>
      </w:pPr>
      <w:r>
        <w:rPr>
          <w:rFonts w:ascii="Calibri" w:hAnsi="Calibri"/>
          <w:b/>
          <w:color w:val="000000"/>
          <w:sz w:val="19"/>
        </w:rPr>
        <w:t xml:space="preserve">[R030] Cortical superficial siderosis and recurrent intracerebral hemorrhage risk in cerebral amyloid angiopathy (2019). </w:t>
      </w:r>
      <w:r>
        <w:rPr>
          <w:rFonts w:ascii="Calibri" w:hAnsi="Calibri"/>
          <w:color w:val="000000"/>
          <w:sz w:val="19"/>
        </w:rPr>
        <w:t xml:space="preserve">International Journal of Stroke; prospective/meta-analysis. </w:t>
      </w:r>
      <w:hyperlink r:id="rId83">
        <w:r>
          <w:rPr>
            <w:rFonts w:ascii="Calibri" w:hAnsi="Calibri"/>
            <w:color w:val="2E74B5"/>
            <w:u w:val="single"/>
          </w:rPr>
          <w:t>Source</w:t>
        </w:r>
      </w:hyperlink>
      <w:r>
        <w:rPr>
          <w:rFonts w:ascii="Calibri" w:hAnsi="Calibri"/>
          <w:i/>
          <w:color w:val="5A626C"/>
          <w:sz w:val="18"/>
        </w:rPr>
        <w:t>. cSS extent as recurrent-ICH prognostic marker.</w:t>
      </w:r>
    </w:p>
    <w:p>
      <w:pPr>
        <w:numPr>
          <w:ilvl w:val="0"/>
          <w:numId w:val="24"/>
        </w:numPr>
        <w:spacing w:before="0" w:after="80" w:line="269" w:lineRule="auto"/>
      </w:pPr>
      <w:r>
        <w:rPr>
          <w:rFonts w:ascii="Calibri" w:hAnsi="Calibri"/>
          <w:b/>
          <w:color w:val="000000"/>
          <w:sz w:val="19"/>
        </w:rPr>
        <w:t xml:space="preserve">[R037] Small vessel disease: mechanisms and clinical implications (2019). </w:t>
      </w:r>
      <w:r>
        <w:rPr>
          <w:rFonts w:ascii="Calibri" w:hAnsi="Calibri"/>
          <w:color w:val="000000"/>
          <w:sz w:val="19"/>
        </w:rPr>
        <w:t xml:space="preserve">Lancet Neurology; review. </w:t>
      </w:r>
      <w:hyperlink r:id="rId84">
        <w:r>
          <w:rPr>
            <w:rFonts w:ascii="Calibri" w:hAnsi="Calibri"/>
            <w:color w:val="2E74B5"/>
            <w:u w:val="single"/>
          </w:rPr>
          <w:t>Source</w:t>
        </w:r>
      </w:hyperlink>
      <w:r>
        <w:rPr>
          <w:rFonts w:ascii="Calibri" w:hAnsi="Calibri"/>
          <w:i/>
          <w:color w:val="5A626C"/>
          <w:sz w:val="18"/>
        </w:rPr>
        <w:t>. Mechanistic synthesis across vessel wall, BBB, and tissue.</w:t>
      </w:r>
    </w:p>
    <w:p>
      <w:pPr>
        <w:numPr>
          <w:ilvl w:val="0"/>
          <w:numId w:val="24"/>
        </w:numPr>
        <w:spacing w:before="0" w:after="80" w:line="269" w:lineRule="auto"/>
      </w:pPr>
      <w:r>
        <w:rPr>
          <w:rFonts w:ascii="Calibri" w:hAnsi="Calibri"/>
          <w:b/>
          <w:color w:val="000000"/>
          <w:sz w:val="19"/>
        </w:rPr>
        <w:t xml:space="preserve">[R045] Standardized assessment of automatic segmentation of white matter hyperintensities (2019). </w:t>
      </w:r>
      <w:r>
        <w:rPr>
          <w:rFonts w:ascii="Calibri" w:hAnsi="Calibri"/>
          <w:color w:val="000000"/>
          <w:sz w:val="19"/>
        </w:rPr>
        <w:t xml:space="preserve">Scientific Reports; benchmark. </w:t>
      </w:r>
      <w:hyperlink r:id="rId79">
        <w:r>
          <w:rPr>
            <w:rFonts w:ascii="Calibri" w:hAnsi="Calibri"/>
            <w:color w:val="2E74B5"/>
            <w:u w:val="single"/>
          </w:rPr>
          <w:t>Source</w:t>
        </w:r>
      </w:hyperlink>
      <w:r>
        <w:rPr>
          <w:rFonts w:ascii="Calibri" w:hAnsi="Calibri"/>
          <w:i/>
          <w:color w:val="5A626C"/>
          <w:sz w:val="18"/>
        </w:rPr>
        <w:t>. Multicenter challenge; benchmark-to-cohort transport remains critical.</w:t>
      </w:r>
    </w:p>
    <w:p>
      <w:pPr>
        <w:numPr>
          <w:ilvl w:val="0"/>
          <w:numId w:val="24"/>
        </w:numPr>
        <w:spacing w:before="0" w:after="80" w:line="269" w:lineRule="auto"/>
      </w:pPr>
      <w:r>
        <w:rPr>
          <w:rFonts w:ascii="Calibri" w:hAnsi="Calibri"/>
          <w:b/>
          <w:color w:val="000000"/>
          <w:sz w:val="19"/>
        </w:rPr>
        <w:t xml:space="preserve">[R031] Core cerebrospinal fluid biomarker profile in cerebral amyloid angiopathy (2018). </w:t>
      </w:r>
      <w:r>
        <w:rPr>
          <w:rFonts w:ascii="Calibri" w:hAnsi="Calibri"/>
          <w:color w:val="000000"/>
          <w:sz w:val="19"/>
        </w:rPr>
        <w:t xml:space="preserve">Neurology; meta-analysis. </w:t>
      </w:r>
      <w:hyperlink r:id="rId63">
        <w:r>
          <w:rPr>
            <w:rFonts w:ascii="Calibri" w:hAnsi="Calibri"/>
            <w:color w:val="2E74B5"/>
            <w:u w:val="single"/>
          </w:rPr>
          <w:t>Source</w:t>
        </w:r>
      </w:hyperlink>
      <w:r>
        <w:rPr>
          <w:rFonts w:ascii="Calibri" w:hAnsi="Calibri"/>
          <w:i/>
          <w:color w:val="5A626C"/>
          <w:sz w:val="18"/>
        </w:rPr>
        <w:t>. Aβ40/Aβ42/tau patterns; larger validation needed.</w:t>
      </w:r>
    </w:p>
    <w:p>
      <w:pPr>
        <w:numPr>
          <w:ilvl w:val="0"/>
          <w:numId w:val="24"/>
        </w:numPr>
        <w:spacing w:before="0" w:after="80" w:line="269" w:lineRule="auto"/>
      </w:pPr>
      <w:r>
        <w:rPr>
          <w:rFonts w:ascii="Calibri" w:hAnsi="Calibri"/>
          <w:b/>
          <w:color w:val="000000"/>
          <w:sz w:val="19"/>
        </w:rPr>
        <w:t xml:space="preserve">[R032] Amyloid PET in sporadic cerebral amyloid angiopathy: a systematic critical update (2017). </w:t>
      </w:r>
      <w:r>
        <w:rPr>
          <w:rFonts w:ascii="Calibri" w:hAnsi="Calibri"/>
          <w:color w:val="000000"/>
          <w:sz w:val="19"/>
        </w:rPr>
        <w:t xml:space="preserve">Journal of Cerebral Blood Flow &amp; Metabolism; systematic-review. </w:t>
      </w:r>
      <w:hyperlink r:id="rId64">
        <w:r>
          <w:rPr>
            <w:rFonts w:ascii="Calibri" w:hAnsi="Calibri"/>
            <w:color w:val="2E74B5"/>
            <w:u w:val="single"/>
          </w:rPr>
          <w:t>Source</w:t>
        </w:r>
      </w:hyperlink>
      <w:r>
        <w:rPr>
          <w:rFonts w:ascii="Calibri" w:hAnsi="Calibri"/>
          <w:i/>
          <w:color w:val="5A626C"/>
          <w:sz w:val="18"/>
        </w:rPr>
        <w:t>. Sensitivity/specificity limits from coexisting plaques.</w:t>
      </w:r>
    </w:p>
    <w:p>
      <w:pPr>
        <w:numPr>
          <w:ilvl w:val="0"/>
          <w:numId w:val="24"/>
        </w:numPr>
        <w:spacing w:before="0" w:after="80" w:line="269" w:lineRule="auto"/>
      </w:pPr>
      <w:r>
        <w:rPr>
          <w:rFonts w:ascii="Calibri" w:hAnsi="Calibri"/>
          <w:b/>
          <w:color w:val="000000"/>
          <w:sz w:val="19"/>
        </w:rPr>
        <w:t xml:space="preserve">[R028] Small vessel disease burden in cerebral amyloid angiopathy (2016). </w:t>
      </w:r>
      <w:r>
        <w:rPr>
          <w:rFonts w:ascii="Calibri" w:hAnsi="Calibri"/>
          <w:color w:val="000000"/>
          <w:sz w:val="19"/>
        </w:rPr>
        <w:t xml:space="preserve">JAMA Neurology; imaging-pathology. </w:t>
      </w:r>
      <w:hyperlink r:id="rId62">
        <w:r>
          <w:rPr>
            <w:rFonts w:ascii="Calibri" w:hAnsi="Calibri"/>
            <w:color w:val="2E74B5"/>
            <w:u w:val="single"/>
          </w:rPr>
          <w:t>Source</w:t>
        </w:r>
      </w:hyperlink>
      <w:r>
        <w:rPr>
          <w:rFonts w:ascii="Calibri" w:hAnsi="Calibri"/>
          <w:i/>
          <w:color w:val="5A626C"/>
          <w:sz w:val="18"/>
        </w:rPr>
        <w:t>. CAA-oriented 0-6 burden score.</w:t>
      </w:r>
    </w:p>
    <w:p>
      <w:pPr>
        <w:numPr>
          <w:ilvl w:val="0"/>
          <w:numId w:val="24"/>
        </w:numPr>
        <w:spacing w:before="0" w:after="80" w:line="269" w:lineRule="auto"/>
      </w:pPr>
      <w:r>
        <w:rPr>
          <w:rFonts w:ascii="Calibri" w:hAnsi="Calibri"/>
          <w:b/>
          <w:color w:val="000000"/>
          <w:sz w:val="19"/>
        </w:rPr>
        <w:t xml:space="preserve">[R047] Cortical superficial siderosis: detection and clinical significance (2015). </w:t>
      </w:r>
      <w:r>
        <w:rPr>
          <w:rFonts w:ascii="Calibri" w:hAnsi="Calibri"/>
          <w:color w:val="000000"/>
          <w:sz w:val="19"/>
        </w:rPr>
        <w:t xml:space="preserve">Brain; review. </w:t>
      </w:r>
      <w:hyperlink r:id="rId85">
        <w:r>
          <w:rPr>
            <w:rFonts w:ascii="Calibri" w:hAnsi="Calibri"/>
            <w:color w:val="2E74B5"/>
            <w:u w:val="single"/>
          </w:rPr>
          <w:t>Source</w:t>
        </w:r>
      </w:hyperlink>
      <w:r>
        <w:rPr>
          <w:rFonts w:ascii="Calibri" w:hAnsi="Calibri"/>
          <w:i/>
          <w:color w:val="5A626C"/>
          <w:sz w:val="18"/>
        </w:rPr>
        <w:t>. Core cSS definition and significance.</w:t>
      </w:r>
    </w:p>
    <w:p>
      <w:pPr>
        <w:numPr>
          <w:ilvl w:val="0"/>
          <w:numId w:val="24"/>
        </w:numPr>
        <w:spacing w:before="0" w:after="80" w:line="269" w:lineRule="auto"/>
      </w:pPr>
      <w:r>
        <w:rPr>
          <w:rFonts w:ascii="Calibri" w:hAnsi="Calibri"/>
          <w:b/>
          <w:color w:val="000000"/>
          <w:sz w:val="19"/>
        </w:rPr>
        <w:t xml:space="preserve">[R033] Arteriolosclerosis that affects multiple brain regions is linked to hippocampal sclerosis of ageing (2014). </w:t>
      </w:r>
      <w:r>
        <w:rPr>
          <w:rFonts w:ascii="Calibri" w:hAnsi="Calibri"/>
          <w:color w:val="000000"/>
          <w:sz w:val="19"/>
        </w:rPr>
        <w:t xml:space="preserve">Brain; autopsy cohorts. </w:t>
      </w:r>
      <w:hyperlink r:id="rId54">
        <w:r>
          <w:rPr>
            <w:rFonts w:ascii="Calibri" w:hAnsi="Calibri"/>
            <w:color w:val="2E74B5"/>
            <w:u w:val="single"/>
          </w:rPr>
          <w:t>Source</w:t>
        </w:r>
      </w:hyperlink>
      <w:r>
        <w:rPr>
          <w:rFonts w:ascii="Calibri" w:hAnsi="Calibri"/>
          <w:i/>
          <w:color w:val="5A626C"/>
          <w:sz w:val="18"/>
        </w:rPr>
        <w:t>. Association across three autopsy series; causal direction unresolved.</w:t>
      </w:r>
    </w:p>
    <w:p>
      <w:pPr>
        <w:numPr>
          <w:ilvl w:val="0"/>
          <w:numId w:val="24"/>
        </w:numPr>
        <w:spacing w:before="0" w:after="80" w:line="269" w:lineRule="auto"/>
      </w:pPr>
      <w:r>
        <w:rPr>
          <w:rFonts w:ascii="Calibri" w:hAnsi="Calibri"/>
          <w:b/>
          <w:color w:val="000000"/>
          <w:sz w:val="19"/>
        </w:rPr>
        <w:t xml:space="preserve">[R026] Development, appraisal, validation and implementation of a consensus protocol for assessment of cerebral amyloid angiopathy in post-mortem brain tissue (2014). </w:t>
      </w:r>
      <w:r>
        <w:rPr>
          <w:rFonts w:ascii="Calibri" w:hAnsi="Calibri"/>
          <w:color w:val="000000"/>
          <w:sz w:val="19"/>
        </w:rPr>
        <w:t xml:space="preserve">American Journal of Neurodegenerative Disease; consensus. </w:t>
      </w:r>
      <w:hyperlink r:id="rId75">
        <w:r>
          <w:rPr>
            <w:rFonts w:ascii="Calibri" w:hAnsi="Calibri"/>
            <w:color w:val="2E74B5"/>
            <w:u w:val="single"/>
          </w:rPr>
          <w:t>Source</w:t>
        </w:r>
      </w:hyperlink>
      <w:r>
        <w:rPr>
          <w:rFonts w:ascii="Calibri" w:hAnsi="Calibri"/>
          <w:i/>
          <w:color w:val="5A626C"/>
          <w:sz w:val="18"/>
        </w:rPr>
        <w:t>. Sampling and severity standardization.</w:t>
      </w:r>
    </w:p>
    <w:p>
      <w:pPr>
        <w:numPr>
          <w:ilvl w:val="0"/>
          <w:numId w:val="24"/>
        </w:numPr>
        <w:spacing w:before="0" w:after="80" w:line="269" w:lineRule="auto"/>
      </w:pPr>
      <w:r>
        <w:rPr>
          <w:rFonts w:ascii="Calibri" w:hAnsi="Calibri"/>
          <w:b/>
          <w:color w:val="000000"/>
          <w:sz w:val="19"/>
        </w:rPr>
        <w:t xml:space="preserve">[R027] Stroke subtype, vascular risk factors, and total MRI brain small-vessel disease burden (2014). </w:t>
      </w:r>
      <w:r>
        <w:rPr>
          <w:rFonts w:ascii="Calibri" w:hAnsi="Calibri"/>
          <w:color w:val="000000"/>
          <w:sz w:val="19"/>
        </w:rPr>
        <w:t xml:space="preserve">Neurology; construct validation. </w:t>
      </w:r>
      <w:hyperlink r:id="rId61">
        <w:r>
          <w:rPr>
            <w:rFonts w:ascii="Calibri" w:hAnsi="Calibri"/>
            <w:color w:val="2E74B5"/>
            <w:u w:val="single"/>
          </w:rPr>
          <w:t>Source</w:t>
        </w:r>
      </w:hyperlink>
      <w:r>
        <w:rPr>
          <w:rFonts w:ascii="Calibri" w:hAnsi="Calibri"/>
          <w:i/>
          <w:color w:val="5A626C"/>
          <w:sz w:val="18"/>
        </w:rPr>
        <w:t>. Original 0-4 burden construct.</w:t>
      </w:r>
    </w:p>
    <w:p>
      <w:pPr>
        <w:numPr>
          <w:ilvl w:val="0"/>
          <w:numId w:val="24"/>
        </w:numPr>
        <w:spacing w:before="0" w:after="80" w:line="269" w:lineRule="auto"/>
      </w:pPr>
      <w:r>
        <w:rPr>
          <w:rFonts w:ascii="Calibri" w:hAnsi="Calibri"/>
          <w:b/>
          <w:color w:val="000000"/>
          <w:sz w:val="19"/>
        </w:rPr>
        <w:t xml:space="preserve">[R036] Cerebral small vessel disease: from pathogenesis and clinical characteristics to therapeutic challenges (2010). </w:t>
      </w:r>
      <w:r>
        <w:rPr>
          <w:rFonts w:ascii="Calibri" w:hAnsi="Calibri"/>
          <w:color w:val="000000"/>
          <w:sz w:val="19"/>
        </w:rPr>
        <w:t xml:space="preserve">Lancet Neurology; review. </w:t>
      </w:r>
      <w:hyperlink r:id="rId86">
        <w:r>
          <w:rPr>
            <w:rFonts w:ascii="Calibri" w:hAnsi="Calibri"/>
            <w:color w:val="2E74B5"/>
            <w:u w:val="single"/>
          </w:rPr>
          <w:t>Source</w:t>
        </w:r>
      </w:hyperlink>
      <w:r>
        <w:rPr>
          <w:rFonts w:ascii="Calibri" w:hAnsi="Calibri"/>
          <w:i/>
          <w:color w:val="5A626C"/>
          <w:sz w:val="18"/>
        </w:rPr>
        <w:t>. Foundational overview; update with newer reviews.</w:t>
      </w:r>
    </w:p>
    <w:p>
      <w:pPr>
        <w:numPr>
          <w:ilvl w:val="0"/>
          <w:numId w:val="24"/>
        </w:numPr>
        <w:spacing w:before="0" w:after="80" w:line="269" w:lineRule="auto"/>
      </w:pPr>
      <w:r>
        <w:rPr>
          <w:rFonts w:ascii="Calibri" w:hAnsi="Calibri"/>
          <w:b/>
          <w:color w:val="000000"/>
          <w:sz w:val="19"/>
        </w:rPr>
        <w:t xml:space="preserve">[R046] Cerebral microbleeds: a guide to detection and interpretation (2009). </w:t>
      </w:r>
      <w:r>
        <w:rPr>
          <w:rFonts w:ascii="Calibri" w:hAnsi="Calibri"/>
          <w:color w:val="000000"/>
          <w:sz w:val="19"/>
        </w:rPr>
        <w:t xml:space="preserve">Lancet Neurology; review. </w:t>
      </w:r>
      <w:hyperlink r:id="rId52">
        <w:r>
          <w:rPr>
            <w:rFonts w:ascii="Calibri" w:hAnsi="Calibri"/>
            <w:color w:val="2E74B5"/>
            <w:u w:val="single"/>
          </w:rPr>
          <w:t>Source</w:t>
        </w:r>
      </w:hyperlink>
      <w:r>
        <w:rPr>
          <w:rFonts w:ascii="Calibri" w:hAnsi="Calibri"/>
          <w:i/>
          <w:color w:val="5A626C"/>
          <w:sz w:val="18"/>
        </w:rPr>
        <w:t>. Foundational mimic and sequence guide.</w:t>
      </w:r>
    </w:p>
    <w:p>
      <w:pPr>
        <w:numPr>
          <w:ilvl w:val="0"/>
          <w:numId w:val="24"/>
        </w:numPr>
        <w:spacing w:before="0" w:after="80" w:line="269" w:lineRule="auto"/>
      </w:pPr>
      <w:r>
        <w:rPr>
          <w:rFonts w:ascii="Calibri" w:hAnsi="Calibri"/>
          <w:b/>
          <w:color w:val="000000"/>
          <w:sz w:val="19"/>
        </w:rPr>
        <w:t xml:space="preserve">[R024] Improving interrater agreement about brain microbleeds: development of BOMBS (2009). </w:t>
      </w:r>
      <w:r>
        <w:rPr>
          <w:rFonts w:ascii="Calibri" w:hAnsi="Calibri"/>
          <w:color w:val="000000"/>
          <w:sz w:val="19"/>
        </w:rPr>
        <w:t xml:space="preserve">Stroke; rating-scale validation. </w:t>
      </w:r>
      <w:hyperlink r:id="rId26">
        <w:r>
          <w:rPr>
            <w:rFonts w:ascii="Calibri" w:hAnsi="Calibri"/>
            <w:color w:val="2E74B5"/>
            <w:u w:val="single"/>
          </w:rPr>
          <w:t>Source</w:t>
        </w:r>
      </w:hyperlink>
      <w:r>
        <w:rPr>
          <w:rFonts w:ascii="Calibri" w:hAnsi="Calibri"/>
          <w:i/>
          <w:color w:val="5A626C"/>
          <w:sz w:val="18"/>
        </w:rPr>
        <w:t>. Structured microbleed rating with mimic sources.</w:t>
      </w:r>
    </w:p>
    <w:p>
      <w:pPr>
        <w:numPr>
          <w:ilvl w:val="0"/>
          <w:numId w:val="24"/>
        </w:numPr>
        <w:spacing w:before="0" w:after="80" w:line="269" w:lineRule="auto"/>
      </w:pPr>
      <w:r>
        <w:rPr>
          <w:rFonts w:ascii="Calibri" w:hAnsi="Calibri"/>
          <w:b/>
          <w:color w:val="000000"/>
          <w:sz w:val="19"/>
        </w:rPr>
        <w:t xml:space="preserve">[R023] The Microbleed Anatomical Rating Scale (2009). </w:t>
      </w:r>
      <w:r>
        <w:rPr>
          <w:rFonts w:ascii="Calibri" w:hAnsi="Calibri"/>
          <w:color w:val="000000"/>
          <w:sz w:val="19"/>
        </w:rPr>
        <w:t xml:space="preserve">Neurology; rating-scale validation. </w:t>
      </w:r>
      <w:hyperlink r:id="rId25">
        <w:r>
          <w:rPr>
            <w:rFonts w:ascii="Calibri" w:hAnsi="Calibri"/>
            <w:color w:val="2E74B5"/>
            <w:u w:val="single"/>
          </w:rPr>
          <w:t>Source</w:t>
        </w:r>
      </w:hyperlink>
      <w:r>
        <w:rPr>
          <w:rFonts w:ascii="Calibri" w:hAnsi="Calibri"/>
          <w:i/>
          <w:color w:val="5A626C"/>
          <w:sz w:val="18"/>
        </w:rPr>
        <w:t>. MARS rating form and reliability.</w:t>
      </w:r>
    </w:p>
    <w:p>
      <w:bookmarkStart w:id="186" w:name="section_177"/>
      <w:pPr>
        <w:pStyle w:val="Heading2"/>
      </w:pPr>
      <w:r>
        <w:t>Medium sources</w:t>
      </w:r>
      <w:bookmarkEnd w:id="186"/>
    </w:p>
    <w:p>
      <w:pPr>
        <w:numPr>
          <w:ilvl w:val="0"/>
          <w:numId w:val="24"/>
        </w:numPr>
        <w:spacing w:before="0" w:after="80" w:line="269" w:lineRule="auto"/>
      </w:pPr>
      <w:r>
        <w:rPr>
          <w:rFonts w:ascii="Calibri" w:hAnsi="Calibri"/>
          <w:b/>
          <w:color w:val="000000"/>
          <w:sz w:val="19"/>
        </w:rPr>
        <w:t xml:space="preserve">[R039] Clinical management of cerebral amyloid angiopathy (2025). </w:t>
      </w:r>
      <w:r>
        <w:rPr>
          <w:rFonts w:ascii="Calibri" w:hAnsi="Calibri"/>
          <w:color w:val="000000"/>
          <w:sz w:val="19"/>
        </w:rPr>
        <w:t xml:space="preserve">Journal of Clinical Medicine; review. </w:t>
      </w:r>
      <w:hyperlink r:id="rId87">
        <w:r>
          <w:rPr>
            <w:rFonts w:ascii="Calibri" w:hAnsi="Calibri"/>
            <w:color w:val="2E74B5"/>
            <w:u w:val="single"/>
          </w:rPr>
          <w:t>Source</w:t>
        </w:r>
      </w:hyperlink>
      <w:r>
        <w:rPr>
          <w:rFonts w:ascii="Calibri" w:hAnsi="Calibri"/>
          <w:i/>
          <w:color w:val="5A626C"/>
          <w:sz w:val="18"/>
        </w:rPr>
        <w:t>. Useful overview; scientific statement is higher-priority guidance.</w:t>
      </w:r>
    </w:p>
    <w:p>
      <w:pPr>
        <w:numPr>
          <w:ilvl w:val="0"/>
          <w:numId w:val="24"/>
        </w:numPr>
        <w:spacing w:before="0" w:after="80" w:line="269" w:lineRule="auto"/>
      </w:pPr>
      <w:r>
        <w:rPr>
          <w:rFonts w:ascii="Calibri" w:hAnsi="Calibri"/>
          <w:b/>
          <w:color w:val="000000"/>
          <w:sz w:val="19"/>
        </w:rPr>
        <w:t xml:space="preserve">[R042] White matter hyperintensity multispot pattern lesions and cerebrovascular amyloid burden (2025). </w:t>
      </w:r>
      <w:r>
        <w:rPr>
          <w:rFonts w:ascii="Calibri" w:hAnsi="Calibri"/>
          <w:color w:val="000000"/>
          <w:sz w:val="19"/>
        </w:rPr>
        <w:t xml:space="preserve">Stroke; pilot observational. </w:t>
      </w:r>
      <w:hyperlink r:id="rId53">
        <w:r>
          <w:rPr>
            <w:rFonts w:ascii="Calibri" w:hAnsi="Calibri"/>
            <w:color w:val="2E74B5"/>
            <w:u w:val="single"/>
          </w:rPr>
          <w:t>Source</w:t>
        </w:r>
      </w:hyperlink>
      <w:r>
        <w:rPr>
          <w:rFonts w:ascii="Calibri" w:hAnsi="Calibri"/>
          <w:i/>
          <w:color w:val="5A626C"/>
          <w:sz w:val="18"/>
        </w:rPr>
        <w:t>. N=21; exploratory PET association.</w:t>
      </w:r>
    </w:p>
    <w:p>
      <w:pPr>
        <w:numPr>
          <w:ilvl w:val="0"/>
          <w:numId w:val="24"/>
        </w:numPr>
        <w:spacing w:before="0" w:after="80" w:line="269" w:lineRule="auto"/>
      </w:pPr>
      <w:r>
        <w:rPr>
          <w:rFonts w:ascii="Calibri" w:hAnsi="Calibri"/>
          <w:b/>
          <w:color w:val="000000"/>
          <w:sz w:val="19"/>
        </w:rPr>
        <w:t xml:space="preserve">[R035] Entorhinal vessel density correlates with phosphorylated tau and TDP-43 pathology (2024). </w:t>
      </w:r>
      <w:r>
        <w:rPr>
          <w:rFonts w:ascii="Calibri" w:hAnsi="Calibri"/>
          <w:color w:val="000000"/>
          <w:sz w:val="19"/>
        </w:rPr>
        <w:t xml:space="preserve">Alzheimer's &amp; Dementia; ex vivo MRI-pathology. </w:t>
      </w:r>
      <w:hyperlink r:id="rId60">
        <w:r>
          <w:rPr>
            <w:rFonts w:ascii="Calibri" w:hAnsi="Calibri"/>
            <w:color w:val="2E74B5"/>
            <w:u w:val="single"/>
          </w:rPr>
          <w:t>Source</w:t>
        </w:r>
      </w:hyperlink>
      <w:r>
        <w:rPr>
          <w:rFonts w:ascii="Calibri" w:hAnsi="Calibri"/>
          <w:i/>
          <w:color w:val="5A626C"/>
          <w:sz w:val="18"/>
        </w:rPr>
        <w:t>. Twelve-case spatial association; direction unknown.</w:t>
      </w:r>
    </w:p>
    <w:p>
      <w:pPr>
        <w:numPr>
          <w:ilvl w:val="0"/>
          <w:numId w:val="24"/>
        </w:numPr>
        <w:spacing w:before="0" w:after="80" w:line="269" w:lineRule="auto"/>
      </w:pPr>
      <w:r>
        <w:rPr>
          <w:rFonts w:ascii="Calibri" w:hAnsi="Calibri"/>
          <w:b/>
          <w:color w:val="000000"/>
          <w:sz w:val="19"/>
        </w:rPr>
        <w:t xml:space="preserve">[R044] Computer-aided extraction of select MRI markers of cerebral small vessel disease (2022). </w:t>
      </w:r>
      <w:r>
        <w:rPr>
          <w:rFonts w:ascii="Calibri" w:hAnsi="Calibri"/>
          <w:color w:val="000000"/>
          <w:sz w:val="19"/>
        </w:rPr>
        <w:t xml:space="preserve">NeuroImage: Clinical; systematic-review. </w:t>
      </w:r>
      <w:hyperlink r:id="rId88">
        <w:r>
          <w:rPr>
            <w:rFonts w:ascii="Calibri" w:hAnsi="Calibri"/>
            <w:color w:val="2E74B5"/>
            <w:u w:val="single"/>
          </w:rPr>
          <w:t>Source</w:t>
        </w:r>
      </w:hyperlink>
      <w:r>
        <w:rPr>
          <w:rFonts w:ascii="Calibri" w:hAnsi="Calibri"/>
          <w:i/>
          <w:color w:val="5A626C"/>
          <w:sz w:val="18"/>
        </w:rPr>
        <w:t>. Review CMB/PVS/lacune methods; verify final journal citation.</w:t>
      </w:r>
    </w:p>
    <w:p>
      <w:pPr>
        <w:numPr>
          <w:ilvl w:val="0"/>
          <w:numId w:val="24"/>
        </w:numPr>
        <w:spacing w:before="0" w:after="80" w:line="269" w:lineRule="auto"/>
      </w:pPr>
      <w:r>
        <w:rPr>
          <w:rFonts w:ascii="Calibri" w:hAnsi="Calibri"/>
          <w:b/>
          <w:color w:val="000000"/>
          <w:sz w:val="19"/>
        </w:rPr>
        <w:t xml:space="preserve">[R049] Vascular pathologies and Alzheimer's disease-related proteinopathies of the medial temporal lobe (2022). </w:t>
      </w:r>
      <w:r>
        <w:rPr>
          <w:rFonts w:ascii="Calibri" w:hAnsi="Calibri"/>
          <w:color w:val="000000"/>
          <w:sz w:val="19"/>
        </w:rPr>
        <w:t xml:space="preserve">Current Trends in Neurology; narrative-review. </w:t>
      </w:r>
      <w:r>
        <w:rPr>
          <w:rFonts w:ascii="Calibri" w:hAnsi="Calibri"/>
          <w:i/>
          <w:color w:val="5A626C"/>
          <w:sz w:val="18"/>
        </w:rPr>
        <w:t>. Supplied PDF; use as map, verify primary studies.</w:t>
      </w:r>
    </w:p>
    <w:p>
      <w:pPr>
        <w:numPr>
          <w:ilvl w:val="0"/>
          <w:numId w:val="24"/>
        </w:numPr>
        <w:spacing w:before="0" w:after="80" w:line="269" w:lineRule="auto"/>
      </w:pPr>
      <w:r>
        <w:rPr>
          <w:rFonts w:ascii="Calibri" w:hAnsi="Calibri"/>
          <w:b/>
          <w:color w:val="000000"/>
          <w:sz w:val="19"/>
        </w:rPr>
        <w:t xml:space="preserve">[R029] Total small vessel disease burden and brain network efficiency in cerebral amyloid angiopathy (2018). </w:t>
      </w:r>
      <w:r>
        <w:rPr>
          <w:rFonts w:ascii="Calibri" w:hAnsi="Calibri"/>
          <w:color w:val="000000"/>
          <w:sz w:val="19"/>
        </w:rPr>
        <w:t xml:space="preserve">Journal of the American Heart Association; observational. </w:t>
      </w:r>
      <w:hyperlink r:id="rId57">
        <w:r>
          <w:rPr>
            <w:rFonts w:ascii="Calibri" w:hAnsi="Calibri"/>
            <w:color w:val="2E74B5"/>
            <w:u w:val="single"/>
          </w:rPr>
          <w:t>Source</w:t>
        </w:r>
      </w:hyperlink>
      <w:r>
        <w:rPr>
          <w:rFonts w:ascii="Calibri" w:hAnsi="Calibri"/>
          <w:i/>
          <w:color w:val="5A626C"/>
          <w:sz w:val="18"/>
        </w:rPr>
        <w:t>. Links burden score with network efficiency.</w:t>
      </w:r>
    </w:p>
    <w:p>
      <w:pPr>
        <w:numPr>
          <w:ilvl w:val="0"/>
          <w:numId w:val="24"/>
        </w:numPr>
        <w:spacing w:before="0" w:after="80" w:line="269" w:lineRule="auto"/>
      </w:pPr>
      <w:r>
        <w:rPr>
          <w:rFonts w:ascii="Calibri" w:hAnsi="Calibri"/>
          <w:b/>
          <w:color w:val="000000"/>
          <w:sz w:val="19"/>
        </w:rPr>
        <w:t xml:space="preserve">[R048] Cerebral amyloid angiopathy with and without hemorrhage (2015). </w:t>
      </w:r>
      <w:r>
        <w:rPr>
          <w:rFonts w:ascii="Calibri" w:hAnsi="Calibri"/>
          <w:color w:val="000000"/>
          <w:sz w:val="19"/>
        </w:rPr>
        <w:t xml:space="preserve">Neurology; MRI-pathology. </w:t>
      </w:r>
      <w:hyperlink r:id="rId89">
        <w:r>
          <w:rPr>
            <w:rFonts w:ascii="Calibri" w:hAnsi="Calibri"/>
            <w:color w:val="2E74B5"/>
            <w:u w:val="single"/>
          </w:rPr>
          <w:t>Source</w:t>
        </w:r>
      </w:hyperlink>
      <w:r>
        <w:rPr>
          <w:rFonts w:ascii="Calibri" w:hAnsi="Calibri"/>
          <w:i/>
          <w:color w:val="5A626C"/>
          <w:sz w:val="18"/>
        </w:rPr>
        <w:t>. Supports distinct hemorrhagic phenotypes and APOE relationships.</w:t>
      </w:r>
    </w:p>
    <w:p>
      <w:bookmarkStart w:id="187" w:name="section_178"/>
      <w:pPr>
        <w:pStyle w:val="Heading2"/>
      </w:pPr>
      <w:r>
        <w:t>Low sources</w:t>
      </w:r>
      <w:bookmarkEnd w:id="187"/>
    </w:p>
    <w:p>
      <w:pPr>
        <w:numPr>
          <w:ilvl w:val="0"/>
          <w:numId w:val="24"/>
        </w:numPr>
        <w:spacing w:before="0" w:after="80" w:line="269" w:lineRule="auto"/>
      </w:pPr>
      <w:r>
        <w:rPr>
          <w:rFonts w:ascii="Calibri" w:hAnsi="Calibri"/>
          <w:b/>
          <w:color w:val="000000"/>
          <w:sz w:val="19"/>
        </w:rPr>
        <w:t xml:space="preserve">[R043] Cerebrovascular morphology in aging and disease (2022). </w:t>
      </w:r>
      <w:r>
        <w:rPr>
          <w:rFonts w:ascii="Calibri" w:hAnsi="Calibri"/>
          <w:color w:val="000000"/>
          <w:sz w:val="19"/>
        </w:rPr>
        <w:t xml:space="preserve">Frontiers/related methods; methods. </w:t>
      </w:r>
      <w:hyperlink r:id="rId90">
        <w:r>
          <w:rPr>
            <w:rFonts w:ascii="Calibri" w:hAnsi="Calibri"/>
            <w:color w:val="2E74B5"/>
            <w:u w:val="single"/>
          </w:rPr>
          <w:t>Source</w:t>
        </w:r>
      </w:hyperlink>
      <w:r>
        <w:rPr>
          <w:rFonts w:ascii="Calibri" w:hAnsi="Calibri"/>
          <w:i/>
          <w:color w:val="5A626C"/>
          <w:sz w:val="18"/>
        </w:rPr>
        <w:t>. Discovery resource; prioritize peer-reviewed validation.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7"/>
      </w:rPr>
    </w:r>
    <w:r/>
    <w:r>
      <w:rPr>
        <w:rFonts w:ascii="Calibri" w:hAnsi="Calibri"/>
        <w:color w:val="5A626C"/>
        <w:sz w:val="17"/>
      </w:rPr>
      <w:t xml:space="preserve">Evidence Guide v0.5.1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4" w:space="4" w:color="B8C7D9"/>
      </w:pBdr>
    </w:pPr>
    <w:r>
      <w:rPr>
        <w:rFonts w:ascii="Calibri" w:hAnsi="Calibri"/>
        <w:b/>
        <w:color w:val="5A626C"/>
        <w:sz w:val="17"/>
      </w:rPr>
    </w:r>
    <w:r>
      <w:rPr>
        <w:rFonts w:ascii="Calibri" w:hAnsi="Calibri"/>
        <w:b/>
        <w:color w:val="5A626C"/>
        <w:sz w:val="17"/>
      </w:rPr>
      <w:t>CEREBRAL SMALL VESSEL DISEASE | LIVING EVIDENCE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0374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007/s00401-020-02235-6" TargetMode="External"/><Relationship Id="rId14" Type="http://schemas.openxmlformats.org/officeDocument/2006/relationships/hyperlink" Target="https://doi.org/10.1093/brain/awx047" TargetMode="External"/><Relationship Id="rId15" Type="http://schemas.openxmlformats.org/officeDocument/2006/relationships/hyperlink" Target="https://doi.org/10.1016/S1474-4422(23)00131-X" TargetMode="External"/><Relationship Id="rId16" Type="http://schemas.openxmlformats.org/officeDocument/2006/relationships/hyperlink" Target="https://doi.org/10.1056/NEJMra2411298" TargetMode="External"/><Relationship Id="rId17" Type="http://schemas.openxmlformats.org/officeDocument/2006/relationships/hyperlink" Target="https://doi.org/10.1016/S1474-4422(23)00114-X" TargetMode="External"/><Relationship Id="rId18" Type="http://schemas.openxmlformats.org/officeDocument/2006/relationships/hyperlink" Target="https://onlinelibrary.wiley.com/journal/15318249" TargetMode="External"/><Relationship Id="rId19" Type="http://schemas.openxmlformats.org/officeDocument/2006/relationships/hyperlink" Target="https://doi.org/10.1007/s00018-024-05277-1" TargetMode="External"/><Relationship Id="rId20" Type="http://schemas.openxmlformats.org/officeDocument/2006/relationships/image" Target="media/image3.png"/><Relationship Id="rId21" Type="http://schemas.openxmlformats.org/officeDocument/2006/relationships/hyperlink" Target="https://doi.org/10.1016/S1474-4422(22)00208-3" TargetMode="External"/><Relationship Id="rId22" Type="http://schemas.openxmlformats.org/officeDocument/2006/relationships/hyperlink" Target="https://doi.org/10.1016/S1474-4422(13)70047-8" TargetMode="External"/><Relationship Id="rId23" Type="http://schemas.openxmlformats.org/officeDocument/2006/relationships/hyperlink" Target="https://doi.org/10.1016/S1474-4422(18)30006-1" TargetMode="External"/><Relationship Id="rId24" Type="http://schemas.openxmlformats.org/officeDocument/2006/relationships/hyperlink" Target="https://doi.org/10.1001/jamaneurol.2015.4078" TargetMode="External"/><Relationship Id="rId25" Type="http://schemas.openxmlformats.org/officeDocument/2006/relationships/hyperlink" Target="https://doi.org/10.1212/WNL.0b013e3181c34a7d" TargetMode="External"/><Relationship Id="rId26" Type="http://schemas.openxmlformats.org/officeDocument/2006/relationships/hyperlink" Target="https://doi.org/10.1161/STROKEAHA.108.526996" TargetMode="External"/><Relationship Id="rId27" Type="http://schemas.openxmlformats.org/officeDocument/2006/relationships/hyperlink" Target="https://doi.org/10.1093/brain/aww214" TargetMode="External"/><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hyperlink" Target="https://www.nitrc.org/projects/arts/" TargetMode="External"/><Relationship Id="rId31" Type="http://schemas.openxmlformats.org/officeDocument/2006/relationships/hyperlink" Target="https://markvcid.partners.org/markvcid2-protocols-resources" TargetMode="External"/><Relationship Id="rId32" Type="http://schemas.openxmlformats.org/officeDocument/2006/relationships/hyperlink" Target="https://pmc.ncbi.nlm.nih.gov/articles/PMC8329541/" TargetMode="External"/><Relationship Id="rId33" Type="http://schemas.openxmlformats.org/officeDocument/2006/relationships/hyperlink" Target="https://pmc.ncbi.nlm.nih.gov/articles/PMC11712721/" TargetMode="External"/><Relationship Id="rId34" Type="http://schemas.openxmlformats.org/officeDocument/2006/relationships/hyperlink" Target="https://markvcid.partners.org/" TargetMode="External"/><Relationship Id="rId35" Type="http://schemas.openxmlformats.org/officeDocument/2006/relationships/hyperlink" Target="https://markvcid.partners.org/markvcid1-results" TargetMode="External"/><Relationship Id="rId36" Type="http://schemas.openxmlformats.org/officeDocument/2006/relationships/hyperlink" Target="https://github.com/miac-research/psmd" TargetMode="External"/><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hyperlink" Target="https://doi.org/10.1007/s00401-021-02393-1" TargetMode="External"/><Relationship Id="rId47" Type="http://schemas.openxmlformats.org/officeDocument/2006/relationships/hyperlink" Target="https://doi.org/10.1093/braincomms/fcac245" TargetMode="External"/><Relationship Id="rId48" Type="http://schemas.openxmlformats.org/officeDocument/2006/relationships/hyperlink" Target="https://doi.org/10.1016/j.ebiom.2024.105466" TargetMode="External"/><Relationship Id="rId49" Type="http://schemas.openxmlformats.org/officeDocument/2006/relationships/hyperlink" Target="https://doi.org/10.1002/ana.26761" TargetMode="External"/><Relationship Id="rId50" Type="http://schemas.openxmlformats.org/officeDocument/2006/relationships/hyperlink" Target="https://doi.org/10.1212/WNL.0000000000207940" TargetMode="External"/><Relationship Id="rId51" Type="http://schemas.openxmlformats.org/officeDocument/2006/relationships/hyperlink" Target="https://doi.org/10.1212/WNL.0000000000209386" TargetMode="External"/><Relationship Id="rId52" Type="http://schemas.openxmlformats.org/officeDocument/2006/relationships/hyperlink" Target="https://doi.org/10.1016/S1474-4422(09)70013-4" TargetMode="External"/><Relationship Id="rId53" Type="http://schemas.openxmlformats.org/officeDocument/2006/relationships/hyperlink" Target="https://doi.org/10.1161/STROKEAHA.125.051482" TargetMode="External"/><Relationship Id="rId54" Type="http://schemas.openxmlformats.org/officeDocument/2006/relationships/hyperlink" Target="https://doi.org/10.1093/brain/awt318" TargetMode="External"/><Relationship Id="rId55" Type="http://schemas.openxmlformats.org/officeDocument/2006/relationships/hyperlink" Target="https://doi.org/10.1007/s00401-022-02524-2" TargetMode="External"/><Relationship Id="rId56" Type="http://schemas.openxmlformats.org/officeDocument/2006/relationships/hyperlink" Target="https://pmc.ncbi.nlm.nih.gov/articles/PMC12265290/" TargetMode="External"/><Relationship Id="rId57" Type="http://schemas.openxmlformats.org/officeDocument/2006/relationships/hyperlink" Target="https://pmc.ncbi.nlm.nih.gov/articles/PMC5907925/" TargetMode="External"/><Relationship Id="rId58" Type="http://schemas.openxmlformats.org/officeDocument/2006/relationships/hyperlink" Target="https://pmc.ncbi.nlm.nih.gov/articles/PMC12208800/" TargetMode="External"/><Relationship Id="rId59" Type="http://schemas.openxmlformats.org/officeDocument/2006/relationships/hyperlink" Target="https://pmc.ncbi.nlm.nih.gov/articles/PMC13099593/" TargetMode="External"/><Relationship Id="rId60" Type="http://schemas.openxmlformats.org/officeDocument/2006/relationships/hyperlink" Target="https://doi.org/10.1002/alz.13896" TargetMode="External"/><Relationship Id="rId61" Type="http://schemas.openxmlformats.org/officeDocument/2006/relationships/hyperlink" Target="https://doi.org/10.1212/WNL.0000000000000837" TargetMode="External"/><Relationship Id="rId62" Type="http://schemas.openxmlformats.org/officeDocument/2006/relationships/hyperlink" Target="https://doi.org/10.1001/jamaneurol.2016.0832" TargetMode="External"/><Relationship Id="rId63" Type="http://schemas.openxmlformats.org/officeDocument/2006/relationships/hyperlink" Target="https://pmc.ncbi.nlm.nih.gov/articles/PMC5837868/" TargetMode="External"/><Relationship Id="rId64" Type="http://schemas.openxmlformats.org/officeDocument/2006/relationships/hyperlink" Target="https://pmc.ncbi.nlm.nih.gov/articles/PMC5435601/" TargetMode="External"/><Relationship Id="rId65" Type="http://schemas.openxmlformats.org/officeDocument/2006/relationships/hyperlink" Target="https://pubmed.ncbi.nlm.nih.gov/42287242/" TargetMode="External"/><Relationship Id="rId66" Type="http://schemas.openxmlformats.org/officeDocument/2006/relationships/hyperlink" Target="https://doi.org/10.1002/alz.13888" TargetMode="External"/><Relationship Id="rId67" Type="http://schemas.openxmlformats.org/officeDocument/2006/relationships/hyperlink" Target="https://doi.org/10.1212/WNL.0000000000210008" TargetMode="External"/><Relationship Id="rId68" Type="http://schemas.openxmlformats.org/officeDocument/2006/relationships/hyperlink" Target="https://doi.org/10.1161/STROKEAHA.122.040671" TargetMode="External"/><Relationship Id="rId69" Type="http://schemas.openxmlformats.org/officeDocument/2006/relationships/hyperlink" Target="https://doi.org/10.1002/ana.78029" TargetMode="External"/><Relationship Id="rId70" Type="http://schemas.openxmlformats.org/officeDocument/2006/relationships/hyperlink" Target="https://doi.org/10.1177/23969873251349657" TargetMode="External"/><Relationship Id="rId71" Type="http://schemas.openxmlformats.org/officeDocument/2006/relationships/hyperlink" Target="https://doi.org/10.1002/alz.71361" TargetMode="External"/><Relationship Id="rId72" Type="http://schemas.openxmlformats.org/officeDocument/2006/relationships/hyperlink" Target="https://doi.org/10.1016/j.cccb.2022.100124" TargetMode="External"/><Relationship Id="rId73" Type="http://schemas.openxmlformats.org/officeDocument/2006/relationships/hyperlink" Target="https://doi.org/10.1016/j.arr.2024.102247" TargetMode="External"/><Relationship Id="rId74" Type="http://schemas.openxmlformats.org/officeDocument/2006/relationships/hyperlink" Target="https://doi.org/10.1186/s40478-021-01235-1" TargetMode="External"/><Relationship Id="rId75" Type="http://schemas.openxmlformats.org/officeDocument/2006/relationships/hyperlink" Target="https://pmc.ncbi.nlm.nih.gov/articles/PMC3991507/" TargetMode="External"/><Relationship Id="rId76" Type="http://schemas.openxmlformats.org/officeDocument/2006/relationships/hyperlink" Target="https://pmc.ncbi.nlm.nih.gov/articles/PMC8959640/" TargetMode="External"/><Relationship Id="rId77" Type="http://schemas.openxmlformats.org/officeDocument/2006/relationships/hyperlink" Target="https://pmc.ncbi.nlm.nih.gov/articles/PMC11667514/" TargetMode="External"/><Relationship Id="rId78" Type="http://schemas.openxmlformats.org/officeDocument/2006/relationships/hyperlink" Target="https://pmc.ncbi.nlm.nih.gov/articles/PMC8122220/" TargetMode="External"/><Relationship Id="rId79" Type="http://schemas.openxmlformats.org/officeDocument/2006/relationships/hyperlink" Target="https://arxiv.org/abs/1904.00682" TargetMode="External"/><Relationship Id="rId80" Type="http://schemas.openxmlformats.org/officeDocument/2006/relationships/hyperlink" Target="https://doi.org/10.1177/17474930251365861" TargetMode="External"/><Relationship Id="rId81" Type="http://schemas.openxmlformats.org/officeDocument/2006/relationships/hyperlink" Target="https://doi.org/10.1152/physrev.00028.2024" TargetMode="External"/><Relationship Id="rId82" Type="http://schemas.openxmlformats.org/officeDocument/2006/relationships/hyperlink" Target="https://doi.org/10.1161/STROKEAHA.123.044167" TargetMode="External"/><Relationship Id="rId83" Type="http://schemas.openxmlformats.org/officeDocument/2006/relationships/hyperlink" Target="https://pubmed.ncbi.nlm.nih.gov/30785378/" TargetMode="External"/><Relationship Id="rId84" Type="http://schemas.openxmlformats.org/officeDocument/2006/relationships/hyperlink" Target="https://doi.org/10.1016/S1474-4422(19)30079-1" TargetMode="External"/><Relationship Id="rId85" Type="http://schemas.openxmlformats.org/officeDocument/2006/relationships/hyperlink" Target="https://doi.org/10.1093/brain/awv162" TargetMode="External"/><Relationship Id="rId86" Type="http://schemas.openxmlformats.org/officeDocument/2006/relationships/hyperlink" Target="https://doi.org/10.1016/S1474-4422(10)70104-6" TargetMode="External"/><Relationship Id="rId87" Type="http://schemas.openxmlformats.org/officeDocument/2006/relationships/hyperlink" Target="https://doi.org/10.3390/jcm14124259" TargetMode="External"/><Relationship Id="rId88" Type="http://schemas.openxmlformats.org/officeDocument/2006/relationships/hyperlink" Target="https://arxiv.org/abs/2204.01411" TargetMode="External"/><Relationship Id="rId89" Type="http://schemas.openxmlformats.org/officeDocument/2006/relationships/hyperlink" Target="https://doi.org/10.1212/WNL.0000000000001398" TargetMode="External"/><Relationship Id="rId90" Type="http://schemas.openxmlformats.org/officeDocument/2006/relationships/hyperlink" Target="https://arxiv.org/abs/2202.07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Cerebral Small Vessel Disease Question-Driven Evidence Guide v0.5.1</dc:title>
  <dc:subject>CAA, brain arteriolosclerosis, evidence completeness, contradictions, diagnostic validation, and research design</dc:subject>
  <dc:creator/>
  <cp:keywords>cerebral small vessel disease; CAA; arteriolosclerosis; research questions; cohort lineage; falsification; Boston criteria; ARTS</cp:keywords>
  <dc:description>generated by python-docx</dc:description>
  <cp:lastModifiedBy/>
  <cp:revision>1</cp:revision>
  <dcterms:created xsi:type="dcterms:W3CDTF">2013-12-23T23:15:00Z</dcterms:created>
  <dcterms:modified xsi:type="dcterms:W3CDTF">2013-12-23T23:15:00Z</dcterms:modified>
  <cp:category/>
</cp:coreProperties>
</file>