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20"/>
        <w:jc w:val="both"/>
        <w:rPr/>
      </w:pPr>
      <w:r w:rsidDel="00000000" w:rsidR="00000000" w:rsidRPr="00000000">
        <w:rPr>
          <w:b w:val="1"/>
          <w:bCs w:val="1"/>
          <w:rtl w:val="0"/>
        </w:rPr>
        <w:t xml:space="preserve">Transcriptomics</w:t>
      </w:r>
      <w:r w:rsidDel="00000000" w:rsidR="00000000" w:rsidRPr="00000000">
        <w:rPr>
          <w:rtl w:val="0"/>
        </w:rPr>
        <w:t xml:space="preserve"> is the study of the </w:t>
      </w:r>
      <w:r w:rsidDel="00000000" w:rsidR="00000000" w:rsidRPr="00000000">
        <w:rPr>
          <w:b w:val="1"/>
          <w:bCs w:val="1"/>
          <w:rtl w:val="0"/>
        </w:rPr>
        <w:t xml:space="preserve">transcriptome</w:t>
      </w:r>
      <w:r w:rsidDel="00000000" w:rsidR="00000000" w:rsidRPr="00000000">
        <w:rPr>
          <w:rtl w:val="0"/>
        </w:rPr>
        <w:t xml:space="preserve">—the complete set of RNA molecules expressed by a cell, tissue, or organism at a specific time and under specific conditions. Unlike the genome, which is largely constant across tissues and cell types, the transcriptome is dynamic and changes in response to biological and environmental factors.</w:t>
      </w:r>
    </w:p>
    <w:p w:rsidR="00000000" w:rsidDel="00000000" w:rsidP="00000000" w:rsidRDefault="00000000" w:rsidRPr="00000000" w14:paraId="00000002">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03">
      <w:pPr>
        <w:spacing w:line="276" w:lineRule="auto"/>
        <w:ind w:firstLine="720"/>
        <w:jc w:val="both"/>
        <w:rPr/>
      </w:pPr>
      <w:r w:rsidDel="00000000" w:rsidR="00000000" w:rsidRPr="00000000">
        <w:rPr>
          <w:rtl w:val="0"/>
        </w:rPr>
        <w:t xml:space="preserve">Gene expression varies depending on the tissue, developmental stage, and external stimuli such as </w:t>
      </w:r>
      <w:r w:rsidDel="00000000" w:rsidR="00000000" w:rsidRPr="00000000">
        <w:rPr>
          <w:b w:val="1"/>
          <w:bCs w:val="1"/>
          <w:rtl w:val="0"/>
        </w:rPr>
        <w:t xml:space="preserve">drought, pathogen infection, salinity, heat stress, and herbicide exposure</w:t>
      </w:r>
      <w:r w:rsidDel="00000000" w:rsidR="00000000" w:rsidRPr="00000000">
        <w:rPr>
          <w:rtl w:val="0"/>
        </w:rPr>
        <w:t xml:space="preserve">. By measuring RNA abundance using RNA sequencing (RNA-seq), transcriptomics reveals which genes are active, how strongly they are expressed, and how gene expression changes between different biological conditions.</w:t>
      </w:r>
    </w:p>
    <w:p w:rsidR="00000000" w:rsidDel="00000000" w:rsidP="00000000" w:rsidRDefault="00000000" w:rsidRPr="00000000" w14:paraId="00000004">
      <w:pPr>
        <w:spacing w:line="276" w:lineRule="auto"/>
        <w:rPr/>
      </w:pPr>
      <w:r w:rsidDel="00000000" w:rsidR="00000000" w:rsidRPr="00000000">
        <w:rPr>
          <w:rtl w:val="0"/>
        </w:rPr>
        <w:t xml:space="preserve"> </w:t>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line="276" w:lineRule="auto"/>
        <w:rPr>
          <w:b w:val="1"/>
          <w:bCs w:val="1"/>
        </w:rPr>
      </w:pPr>
      <w:r w:rsidDel="00000000" w:rsidR="00000000" w:rsidRPr="00000000">
        <w:rPr>
          <w:b w:val="1"/>
          <w:bCs w:val="1"/>
          <w:rtl w:val="0"/>
        </w:rPr>
        <w:t xml:space="preserve">Plant RNA-Seq workflow</w:t>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Pr>
        <w:drawing>
          <wp:inline distB="114300" distT="114300" distL="114300" distR="114300">
            <wp:extent cx="3492500" cy="5245100"/>
            <wp:effectExtent b="0" l="0" r="0" t="0"/>
            <wp:docPr id="1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34925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jc w:val="center"/>
        <w:rPr>
          <w:i w:val="1"/>
          <w:iCs w:val="1"/>
          <w:sz w:val="16"/>
          <w:szCs w:val="16"/>
        </w:rPr>
      </w:pPr>
      <w:r w:rsidDel="00000000" w:rsidR="00000000" w:rsidRPr="00000000">
        <w:rPr>
          <w:i w:val="1"/>
          <w:iCs w:val="1"/>
          <w:sz w:val="16"/>
          <w:szCs w:val="16"/>
          <w:rtl w:val="0"/>
        </w:rPr>
        <w:t xml:space="preserve">Diagram created using ChatGPT (OpenAI) based on the instructor's workflow.</w:t>
      </w:r>
    </w:p>
    <w:p w:rsidR="00000000" w:rsidDel="00000000" w:rsidP="00000000" w:rsidRDefault="00000000" w:rsidRPr="00000000" w14:paraId="0000000A">
      <w:pPr>
        <w:spacing w:line="276" w:lineRule="auto"/>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Reference-guided workflow</w:t>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0D">
      <w:pPr>
        <w:spacing w:line="276" w:lineRule="auto"/>
        <w:jc w:val="center"/>
        <w:rPr>
          <w:b w:val="1"/>
          <w:bCs w:val="1"/>
        </w:rPr>
      </w:pPr>
      <w:r w:rsidDel="00000000" w:rsidR="00000000" w:rsidRPr="00000000">
        <w:rPr>
          <w:b w:val="1"/>
          <w:bCs w:val="1"/>
        </w:rPr>
        <w:drawing>
          <wp:inline distB="114300" distT="114300" distL="114300" distR="114300">
            <wp:extent cx="4660900" cy="6489700"/>
            <wp:effectExtent b="0" l="0" r="0" t="0"/>
            <wp:docPr id="1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6609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76" w:lineRule="auto"/>
        <w:jc w:val="center"/>
        <w:rPr>
          <w:i w:val="1"/>
          <w:iCs w:val="1"/>
        </w:rPr>
      </w:pPr>
      <w:r w:rsidDel="00000000" w:rsidR="00000000" w:rsidRPr="00000000">
        <w:rPr>
          <w:i w:val="1"/>
          <w:iCs w:val="1"/>
          <w:sz w:val="16"/>
          <w:szCs w:val="16"/>
          <w:rtl w:val="0"/>
        </w:rPr>
        <w:t xml:space="preserve">Diagram created using ChatGPT (OpenAI) based on the instructor's workflow</w:t>
      </w:r>
      <w:r w:rsidDel="00000000" w:rsidR="00000000" w:rsidRPr="00000000">
        <w:rPr>
          <w:i w:val="1"/>
          <w:iCs w:val="1"/>
          <w:rtl w:val="0"/>
        </w:rPr>
        <w:t xml:space="preserve">.</w:t>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2">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De novo workflow</w:t>
      </w:r>
    </w:p>
    <w:p w:rsidR="00000000" w:rsidDel="00000000" w:rsidP="00000000" w:rsidRDefault="00000000" w:rsidRPr="00000000" w14:paraId="00000016">
      <w:pPr>
        <w:spacing w:line="276" w:lineRule="auto"/>
        <w:jc w:val="center"/>
        <w:rPr>
          <w:b w:val="1"/>
          <w:bCs w:val="1"/>
        </w:rPr>
      </w:pPr>
      <w:r w:rsidDel="00000000" w:rsidR="00000000" w:rsidRPr="00000000">
        <w:rPr>
          <w:b w:val="1"/>
          <w:bCs w:val="1"/>
        </w:rPr>
        <w:drawing>
          <wp:inline distB="114300" distT="114300" distL="114300" distR="114300">
            <wp:extent cx="4648200" cy="6489700"/>
            <wp:effectExtent b="0" l="0" r="0" t="0"/>
            <wp:docPr id="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4648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jc w:val="center"/>
        <w:rPr>
          <w:i w:val="1"/>
          <w:iCs w:val="1"/>
          <w:sz w:val="16"/>
          <w:szCs w:val="16"/>
        </w:rPr>
      </w:pPr>
      <w:r w:rsidDel="00000000" w:rsidR="00000000" w:rsidRPr="00000000">
        <w:rPr>
          <w:i w:val="1"/>
          <w:iCs w:val="1"/>
          <w:sz w:val="16"/>
          <w:szCs w:val="16"/>
          <w:rtl w:val="0"/>
        </w:rPr>
        <w:t xml:space="preserve">Diagram created using ChatGPT (OpenAI) based on the instructor's workflow.</w:t>
      </w:r>
    </w:p>
    <w:p w:rsidR="00000000" w:rsidDel="00000000" w:rsidP="00000000" w:rsidRDefault="00000000" w:rsidRPr="00000000" w14:paraId="00000018">
      <w:pPr>
        <w:spacing w:line="276" w:lineRule="auto"/>
        <w:jc w:val="center"/>
        <w:rPr/>
      </w:pPr>
      <w:r w:rsidDel="00000000" w:rsidR="00000000" w:rsidRPr="00000000">
        <w:rPr>
          <w:rtl w:val="0"/>
        </w:rPr>
        <w:t xml:space="preserve"> </w:t>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E">
      <w:pPr>
        <w:spacing w:line="276" w:lineRule="auto"/>
        <w:rPr>
          <w:i w:val="1"/>
          <w:iCs w:val="1"/>
        </w:rPr>
      </w:pPr>
      <w:r w:rsidDel="00000000" w:rsidR="00000000" w:rsidRPr="00000000">
        <w:rPr>
          <w:b w:val="1"/>
          <w:bCs w:val="1"/>
          <w:rtl w:val="0"/>
        </w:rPr>
        <w:t xml:space="preserve">Reference-guided:</w:t>
      </w:r>
      <w:r w:rsidDel="00000000" w:rsidR="00000000" w:rsidRPr="00000000">
        <w:rPr>
          <w:rtl w:val="0"/>
        </w:rPr>
        <w:t xml:space="preserve"> </w:t>
      </w:r>
      <w:r w:rsidDel="00000000" w:rsidR="00000000" w:rsidRPr="00000000">
        <w:rPr>
          <w:i w:val="1"/>
          <w:iCs w:val="1"/>
          <w:rtl w:val="0"/>
        </w:rPr>
        <w:t xml:space="preserve">We already know the genome, so we align reads to known genes and count them.</w:t>
      </w:r>
    </w:p>
    <w:p w:rsidR="00000000" w:rsidDel="00000000" w:rsidP="00000000" w:rsidRDefault="00000000" w:rsidRPr="00000000" w14:paraId="0000001F">
      <w:pPr>
        <w:spacing w:line="276" w:lineRule="auto"/>
        <w:rPr>
          <w:i w:val="1"/>
          <w:iCs w:val="1"/>
        </w:rPr>
      </w:pPr>
      <w:r w:rsidDel="00000000" w:rsidR="00000000" w:rsidRPr="00000000">
        <w:rPr>
          <w:b w:val="1"/>
          <w:bCs w:val="1"/>
          <w:rtl w:val="0"/>
        </w:rPr>
        <w:t xml:space="preserve">De novo:</w:t>
      </w:r>
      <w:r w:rsidDel="00000000" w:rsidR="00000000" w:rsidRPr="00000000">
        <w:rPr>
          <w:rtl w:val="0"/>
        </w:rPr>
        <w:t xml:space="preserve"> </w:t>
      </w:r>
      <w:r w:rsidDel="00000000" w:rsidR="00000000" w:rsidRPr="00000000">
        <w:rPr>
          <w:i w:val="1"/>
          <w:iCs w:val="1"/>
          <w:rtl w:val="0"/>
        </w:rPr>
        <w:t xml:space="preserve">We don't have a genome, so we first reconstruct the transcripts, then estimate how many reads belong to each transcript.</w:t>
      </w:r>
    </w:p>
    <w:p w:rsidR="00000000" w:rsidDel="00000000" w:rsidP="00000000" w:rsidRDefault="00000000" w:rsidRPr="00000000" w14:paraId="00000020">
      <w:pPr>
        <w:spacing w:line="276" w:lineRule="auto"/>
        <w:rPr>
          <w:i w:val="1"/>
          <w:iCs w:val="1"/>
        </w:rPr>
      </w:pPr>
      <w:r w:rsidDel="00000000" w:rsidR="00000000" w:rsidRPr="00000000">
        <w:rPr>
          <w:i w:val="1"/>
          <w:iCs w:val="1"/>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Reference-guided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De novo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t xml:space="preserve">Reference genome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rPr/>
            </w:pPr>
            <w:r w:rsidDel="00000000" w:rsidR="00000000" w:rsidRPr="00000000">
              <w:rPr>
                <w:rFonts w:ascii="Arial Unicode MS" w:cs="Arial Unicode MS" w:eastAsia="Arial Unicode MS" w:hAnsi="Arial Unicode MS"/>
                <w:rtl w:val="0"/>
              </w:rPr>
              <w:t xml:space="preserve">❌ 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Reads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t xml:space="preserve">Aligned to a known genome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Assembled into transcripts first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Main goal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t xml:space="preserve">Quantify known genes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Discover transcripts without a genome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Higher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Lower (depends on assembly quality)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Novel gene discovery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Limited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Better</w:t>
            </w:r>
          </w:p>
        </w:tc>
      </w:tr>
    </w:tbl>
    <w:p w:rsidR="00000000" w:rsidDel="00000000" w:rsidP="00000000" w:rsidRDefault="00000000" w:rsidRPr="00000000" w14:paraId="00000033">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Gene Expression Quantification</w:t>
      </w:r>
    </w:p>
    <w:p w:rsidR="00000000" w:rsidDel="00000000" w:rsidP="00000000" w:rsidRDefault="00000000" w:rsidRPr="00000000" w14:paraId="0000003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line="276" w:lineRule="auto"/>
        <w:ind w:firstLine="720"/>
        <w:jc w:val="both"/>
        <w:rPr/>
      </w:pPr>
      <w:r w:rsidDel="00000000" w:rsidR="00000000" w:rsidRPr="00000000">
        <w:rPr>
          <w:rtl w:val="0"/>
        </w:rPr>
        <w:t xml:space="preserve">RNA sequencing (RNA-seq) measures gene expression by counting the number of sequencing reads that map to each gene. In general, genes that produce more RNA molecules generate more sequencing reads, resulting in higher read counts and higher expression levels.</w:t>
      </w:r>
    </w:p>
    <w:p w:rsidR="00000000" w:rsidDel="00000000" w:rsidP="00000000" w:rsidRDefault="00000000" w:rsidRPr="00000000" w14:paraId="00000037">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38">
      <w:pPr>
        <w:spacing w:line="276" w:lineRule="auto"/>
        <w:ind w:firstLine="720"/>
        <w:jc w:val="both"/>
        <w:rPr/>
      </w:pPr>
      <w:r w:rsidDel="00000000" w:rsidR="00000000" w:rsidRPr="00000000">
        <w:rPr>
          <w:rtl w:val="0"/>
        </w:rPr>
        <w:t xml:space="preserve">For example, if Gene A has 50 reads in the control sample and 200 reads in the treatment sample, the treatment appears to have higher gene expression. However, raw read counts cannot be compared directly because samples may have different sequencing depths (total number of reads generated).</w:t>
      </w:r>
    </w:p>
    <w:p w:rsidR="00000000" w:rsidDel="00000000" w:rsidP="00000000" w:rsidRDefault="00000000" w:rsidRPr="00000000" w14:paraId="00000039">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3A">
      <w:pPr>
        <w:spacing w:line="276" w:lineRule="auto"/>
        <w:ind w:firstLine="720"/>
        <w:jc w:val="both"/>
        <w:rPr/>
      </w:pPr>
      <w:r w:rsidDel="00000000" w:rsidR="00000000" w:rsidRPr="00000000">
        <w:rPr>
          <w:rtl w:val="0"/>
        </w:rPr>
        <w:t xml:space="preserve">To make expression values comparable across samples, normalization is performed. Software such as </w:t>
      </w:r>
      <w:r w:rsidDel="00000000" w:rsidR="00000000" w:rsidRPr="00000000">
        <w:rPr>
          <w:b w:val="1"/>
          <w:bCs w:val="1"/>
          <w:rtl w:val="0"/>
        </w:rPr>
        <w:t xml:space="preserve">DESeq2</w:t>
      </w:r>
      <w:r w:rsidDel="00000000" w:rsidR="00000000" w:rsidRPr="00000000">
        <w:rPr>
          <w:rtl w:val="0"/>
        </w:rPr>
        <w:t xml:space="preserve"> adjusts for differences in sequencing depth before statistical testing, producing normalized counts, log</w:t>
      </w:r>
      <w:r w:rsidDel="00000000" w:rsidR="00000000" w:rsidRPr="00000000">
        <w:rPr>
          <w:rFonts w:ascii="Times New Roman" w:cs="Times New Roman" w:eastAsia="Times New Roman" w:hAnsi="Times New Roman"/>
          <w:rtl w:val="0"/>
        </w:rPr>
        <w:t xml:space="preserve">₂</w:t>
      </w:r>
      <w:r w:rsidDel="00000000" w:rsidR="00000000" w:rsidRPr="00000000">
        <w:rPr>
          <w:rtl w:val="0"/>
        </w:rPr>
        <w:t xml:space="preserve"> fold change (log</w:t>
      </w:r>
      <w:r w:rsidDel="00000000" w:rsidR="00000000" w:rsidRPr="00000000">
        <w:rPr>
          <w:rFonts w:ascii="Times New Roman" w:cs="Times New Roman" w:eastAsia="Times New Roman" w:hAnsi="Times New Roman"/>
          <w:rtl w:val="0"/>
        </w:rPr>
        <w:t xml:space="preserve">₂</w:t>
      </w:r>
      <w:r w:rsidDel="00000000" w:rsidR="00000000" w:rsidRPr="00000000">
        <w:rPr>
          <w:rtl w:val="0"/>
        </w:rPr>
        <w:t xml:space="preserve">FC), and False Discovery Rate (FDR) to identify differentially expressed genes (DEGs).</w:t>
      </w:r>
    </w:p>
    <w:p w:rsidR="00000000" w:rsidDel="00000000" w:rsidP="00000000" w:rsidRDefault="00000000" w:rsidRPr="00000000" w14:paraId="0000003B">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3C">
      <w:pPr>
        <w:spacing w:line="276" w:lineRule="auto"/>
        <w:rPr>
          <w:b w:val="1"/>
          <w:bCs w:val="1"/>
        </w:rPr>
      </w:pPr>
      <w:r w:rsidDel="00000000" w:rsidR="00000000" w:rsidRPr="00000000">
        <w:rPr>
          <w:b w:val="1"/>
          <w:bCs w:val="1"/>
          <w:rtl w:val="0"/>
        </w:rPr>
        <w:t xml:space="preserve">Fold Change and log</w:t>
      </w:r>
      <w:r w:rsidDel="00000000" w:rsidR="00000000" w:rsidRPr="00000000">
        <w:rPr>
          <w:rFonts w:ascii="Times New Roman" w:cs="Times New Roman" w:eastAsia="Times New Roman" w:hAnsi="Times New Roman"/>
          <w:b w:val="1"/>
          <w:bCs w:val="1"/>
          <w:rtl w:val="0"/>
        </w:rPr>
        <w:t xml:space="preserve">₂</w:t>
      </w:r>
      <w:r w:rsidDel="00000000" w:rsidR="00000000" w:rsidRPr="00000000">
        <w:rPr>
          <w:b w:val="1"/>
          <w:bCs w:val="1"/>
          <w:rtl w:val="0"/>
        </w:rPr>
        <w:t xml:space="preserve"> Fold Change</w:t>
      </w:r>
    </w:p>
    <w:p w:rsidR="00000000" w:rsidDel="00000000" w:rsidP="00000000" w:rsidRDefault="00000000" w:rsidRPr="00000000" w14:paraId="0000003D">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3E">
      <w:pPr>
        <w:spacing w:line="276" w:lineRule="auto"/>
        <w:ind w:firstLine="720"/>
        <w:rPr/>
      </w:pPr>
      <w:r w:rsidDel="00000000" w:rsidR="00000000" w:rsidRPr="00000000">
        <w:rPr>
          <w:rtl w:val="0"/>
        </w:rPr>
        <w:t xml:space="preserve">Fold change (FC) measures how much a gene's expression changes between two conditions by dividing the treatment expression by the control expression.</w:t>
      </w:r>
    </w:p>
    <w:p w:rsidR="00000000" w:rsidDel="00000000" w:rsidP="00000000" w:rsidRDefault="00000000" w:rsidRPr="00000000" w14:paraId="0000003F">
      <w:pPr>
        <w:spacing w:line="276" w:lineRule="auto"/>
        <w:ind w:firstLine="720"/>
        <w:rPr/>
      </w:pPr>
      <w:r w:rsidDel="00000000" w:rsidR="00000000" w:rsidRPr="00000000">
        <w:rPr>
          <w:rtl w:val="0"/>
        </w:rPr>
        <w:t xml:space="preserve"> </w:t>
      </w:r>
    </w:p>
    <w:p w:rsidR="00000000" w:rsidDel="00000000" w:rsidP="00000000" w:rsidRDefault="00000000" w:rsidRPr="00000000" w14:paraId="00000040">
      <w:pPr>
        <w:spacing w:line="276" w:lineRule="auto"/>
        <w:ind w:firstLine="720"/>
        <w:rPr/>
      </w:pPr>
      <w:r w:rsidDel="00000000" w:rsidR="00000000" w:rsidRPr="00000000">
        <w:rPr/>
        <w:drawing>
          <wp:inline distB="114300" distT="114300" distL="114300" distR="114300">
            <wp:extent cx="1625600" cy="368300"/>
            <wp:effectExtent b="0" l="0" r="0" t="0"/>
            <wp:docPr id="1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25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firstLine="720"/>
        <w:rPr/>
      </w:pPr>
      <w:r w:rsidDel="00000000" w:rsidR="00000000" w:rsidRPr="00000000">
        <w:rPr>
          <w:rtl w:val="0"/>
        </w:rPr>
        <w:t xml:space="preserve"> </w:t>
      </w:r>
    </w:p>
    <w:p w:rsidR="00000000" w:rsidDel="00000000" w:rsidP="00000000" w:rsidRDefault="00000000" w:rsidRPr="00000000" w14:paraId="00000042">
      <w:pPr>
        <w:spacing w:line="276" w:lineRule="auto"/>
        <w:ind w:firstLine="720"/>
        <w:rPr/>
      </w:pPr>
      <w:r w:rsidDel="00000000" w:rsidR="00000000" w:rsidRPr="00000000">
        <w:rPr>
          <w:rtl w:val="0"/>
        </w:rPr>
        <w:t xml:space="preserve">PPO1: 100 reads in the control; 400 reads in the treatment</w:t>
      </w:r>
    </w:p>
    <w:p w:rsidR="00000000" w:rsidDel="00000000" w:rsidP="00000000" w:rsidRDefault="00000000" w:rsidRPr="00000000" w14:paraId="00000043">
      <w:pPr>
        <w:spacing w:line="276" w:lineRule="auto"/>
        <w:ind w:firstLine="720"/>
        <w:jc w:val="center"/>
        <w:rPr/>
      </w:pPr>
      <w:r w:rsidDel="00000000" w:rsidR="00000000" w:rsidRPr="00000000">
        <w:rPr/>
        <w:drawing>
          <wp:inline distB="114300" distT="114300" distL="114300" distR="114300">
            <wp:extent cx="1168400" cy="342900"/>
            <wp:effectExtent b="0" l="0" r="0" t="0"/>
            <wp:docPr id="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168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ind w:firstLine="720"/>
        <w:rPr/>
      </w:pPr>
      <w:r w:rsidDel="00000000" w:rsidR="00000000" w:rsidRPr="00000000">
        <w:rPr>
          <w:rtl w:val="0"/>
        </w:rPr>
        <w:t xml:space="preserve"> </w:t>
      </w:r>
    </w:p>
    <w:p w:rsidR="00000000" w:rsidDel="00000000" w:rsidP="00000000" w:rsidRDefault="00000000" w:rsidRPr="00000000" w14:paraId="00000045">
      <w:pPr>
        <w:spacing w:line="276" w:lineRule="auto"/>
        <w:ind w:firstLine="720"/>
        <w:rPr/>
      </w:pPr>
      <w:r w:rsidDel="00000000" w:rsidR="00000000" w:rsidRPr="00000000">
        <w:rPr>
          <w:rtl w:val="0"/>
        </w:rPr>
        <w:t xml:space="preserve">PPO2: 100 reads in the control; 25 reads in the treatment</w:t>
      </w:r>
    </w:p>
    <w:p w:rsidR="00000000" w:rsidDel="00000000" w:rsidP="00000000" w:rsidRDefault="00000000" w:rsidRPr="00000000" w14:paraId="00000046">
      <w:pPr>
        <w:spacing w:line="276" w:lineRule="auto"/>
        <w:ind w:firstLine="720"/>
        <w:jc w:val="center"/>
        <w:rPr/>
      </w:pPr>
      <w:r w:rsidDel="00000000" w:rsidR="00000000" w:rsidRPr="00000000">
        <w:rPr/>
        <w:drawing>
          <wp:inline distB="114300" distT="114300" distL="114300" distR="114300">
            <wp:extent cx="1358900" cy="342900"/>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358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 </w:t>
      </w:r>
    </w:p>
    <w:p w:rsidR="00000000" w:rsidDel="00000000" w:rsidP="00000000" w:rsidRDefault="00000000" w:rsidRPr="00000000" w14:paraId="00000048">
      <w:pPr>
        <w:spacing w:line="276" w:lineRule="auto"/>
        <w:ind w:firstLine="720"/>
        <w:jc w:val="both"/>
        <w:rPr/>
      </w:pPr>
      <w:r w:rsidDel="00000000" w:rsidR="00000000" w:rsidRPr="00000000">
        <w:rPr>
          <w:rtl w:val="0"/>
        </w:rPr>
        <w:t xml:space="preserve">Because fold change values greater than 1 indicate upregulation while values between 0 and 1 indicate downregulation, they are not symmetrical and can be difficult to interpret. To simplify interpretation, RNA-seq analyses use the </w:t>
      </w:r>
      <w:r w:rsidDel="00000000" w:rsidR="00000000" w:rsidRPr="00000000">
        <w:rPr>
          <w:b w:val="1"/>
          <w:bCs w:val="1"/>
          <w:rtl w:val="0"/>
        </w:rPr>
        <w:t xml:space="preserve">log</w:t>
      </w:r>
      <w:r w:rsidDel="00000000" w:rsidR="00000000" w:rsidRPr="00000000">
        <w:rPr>
          <w:rFonts w:ascii="Times New Roman" w:cs="Times New Roman" w:eastAsia="Times New Roman" w:hAnsi="Times New Roman"/>
          <w:b w:val="1"/>
          <w:bCs w:val="1"/>
          <w:rtl w:val="0"/>
        </w:rPr>
        <w:t xml:space="preserve">₂</w:t>
      </w:r>
      <w:r w:rsidDel="00000000" w:rsidR="00000000" w:rsidRPr="00000000">
        <w:rPr>
          <w:b w:val="1"/>
          <w:bCs w:val="1"/>
          <w:rtl w:val="0"/>
        </w:rPr>
        <w:t xml:space="preserve"> fold change (log</w:t>
      </w:r>
      <w:r w:rsidDel="00000000" w:rsidR="00000000" w:rsidRPr="00000000">
        <w:rPr>
          <w:rFonts w:ascii="Times New Roman" w:cs="Times New Roman" w:eastAsia="Times New Roman" w:hAnsi="Times New Roman"/>
          <w:b w:val="1"/>
          <w:bCs w:val="1"/>
          <w:rtl w:val="0"/>
        </w:rPr>
        <w:t xml:space="preserve">₂</w:t>
      </w:r>
      <w:r w:rsidDel="00000000" w:rsidR="00000000" w:rsidRPr="00000000">
        <w:rPr>
          <w:b w:val="1"/>
          <w:bCs w:val="1"/>
          <w:rtl w:val="0"/>
        </w:rPr>
        <w:t xml:space="preserve">FC)</w:t>
      </w:r>
      <w:r w:rsidDel="00000000" w:rsidR="00000000" w:rsidRPr="00000000">
        <w:rPr>
          <w:rtl w:val="0"/>
        </w:rPr>
        <w:t xml:space="preserve">, which transforms fold changes into values centered around zero.</w:t>
      </w:r>
    </w:p>
    <w:p w:rsidR="00000000" w:rsidDel="00000000" w:rsidP="00000000" w:rsidRDefault="00000000" w:rsidRPr="00000000" w14:paraId="00000049">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4A">
      <w:pPr>
        <w:spacing w:line="276" w:lineRule="auto"/>
        <w:jc w:val="center"/>
        <w:rPr/>
      </w:pPr>
      <w:r w:rsidDel="00000000" w:rsidR="00000000" w:rsidRPr="00000000">
        <w:rPr/>
        <w:drawing>
          <wp:inline distB="114300" distT="114300" distL="114300" distR="114300">
            <wp:extent cx="1054100" cy="3683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541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jc w:val="both"/>
        <w:rPr/>
      </w:pPr>
      <w:r w:rsidDel="00000000" w:rsidR="00000000" w:rsidRPr="00000000">
        <w:rPr>
          <w:rtl w:val="0"/>
        </w:rPr>
        <w:t xml:space="preserve"> </w:t>
      </w:r>
    </w:p>
    <w:p w:rsidR="00000000" w:rsidDel="00000000" w:rsidP="00000000" w:rsidRDefault="00000000" w:rsidRPr="00000000" w14:paraId="0000004C">
      <w:pPr>
        <w:spacing w:line="276" w:lineRule="auto"/>
        <w:ind w:left="2880" w:firstLine="0"/>
        <w:jc w:val="both"/>
        <w:rPr/>
      </w:pPr>
      <w:r w:rsidDel="00000000" w:rsidR="00000000" w:rsidRPr="00000000">
        <w:rPr>
          <w:rtl w:val="0"/>
        </w:rPr>
        <w:t xml:space="preserve">PPO1:  </w:t>
      </w:r>
      <w:r w:rsidDel="00000000" w:rsidR="00000000" w:rsidRPr="00000000">
        <w:rPr/>
        <w:drawing>
          <wp:inline distB="114300" distT="114300" distL="114300" distR="114300">
            <wp:extent cx="1435100" cy="292100"/>
            <wp:effectExtent b="0" l="0" r="0" t="0"/>
            <wp:docPr id="2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4351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ind w:left="2880" w:firstLine="0"/>
        <w:jc w:val="both"/>
        <w:rPr/>
      </w:pPr>
      <w:r w:rsidDel="00000000" w:rsidR="00000000" w:rsidRPr="00000000">
        <w:rPr>
          <w:rtl w:val="0"/>
        </w:rPr>
        <w:t xml:space="preserve"> </w:t>
      </w:r>
    </w:p>
    <w:p w:rsidR="00000000" w:rsidDel="00000000" w:rsidP="00000000" w:rsidRDefault="00000000" w:rsidRPr="00000000" w14:paraId="0000004E">
      <w:pPr>
        <w:spacing w:line="276" w:lineRule="auto"/>
        <w:ind w:left="2880" w:firstLine="0"/>
        <w:jc w:val="both"/>
        <w:rPr>
          <w:i w:val="1"/>
          <w:iCs w:val="1"/>
        </w:rPr>
      </w:pPr>
      <w:r w:rsidDel="00000000" w:rsidR="00000000" w:rsidRPr="00000000">
        <w:rPr>
          <w:rtl w:val="0"/>
        </w:rPr>
        <w:t xml:space="preserve">PPO2: </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663700" cy="292100"/>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6637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ind w:left="0" w:firstLine="0"/>
        <w:jc w:val="both"/>
        <w:rPr>
          <w:i w:val="1"/>
          <w:iCs w:val="1"/>
        </w:rPr>
      </w:pPr>
      <w:r w:rsidDel="00000000" w:rsidR="00000000" w:rsidRPr="00000000">
        <w:rPr>
          <w:i w:val="1"/>
          <w:iCs w:val="1"/>
          <w:rtl w:val="0"/>
        </w:rPr>
        <w:t xml:space="preserve"> </w:t>
      </w:r>
    </w:p>
    <w:p w:rsidR="00000000" w:rsidDel="00000000" w:rsidP="00000000" w:rsidRDefault="00000000" w:rsidRPr="00000000" w14:paraId="00000050">
      <w:pPr>
        <w:spacing w:line="276" w:lineRule="auto"/>
        <w:ind w:left="0" w:firstLine="0"/>
        <w:jc w:val="both"/>
        <w:rPr>
          <w:i w:val="1"/>
          <w:i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65"/>
        <w:tblGridChange w:id="0">
          <w:tblGrid>
            <w:gridCol w:w="3495"/>
            <w:gridCol w:w="58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ind w:left="900" w:firstLine="0"/>
              <w:rPr>
                <w:b w:val="1"/>
                <w:bCs w:val="1"/>
              </w:rPr>
            </w:pPr>
            <w:r w:rsidDel="00000000" w:rsidR="00000000" w:rsidRPr="00000000">
              <w:rPr>
                <w:b w:val="1"/>
                <w:bCs w:val="1"/>
                <w:rtl w:val="0"/>
              </w:rPr>
              <w:t xml:space="preserve">log</w:t>
            </w:r>
            <w:r w:rsidDel="00000000" w:rsidR="00000000" w:rsidRPr="00000000">
              <w:rPr>
                <w:rFonts w:ascii="Times New Roman" w:cs="Times New Roman" w:eastAsia="Times New Roman" w:hAnsi="Times New Roman"/>
                <w:b w:val="1"/>
                <w:bCs w:val="1"/>
                <w:rtl w:val="0"/>
              </w:rPr>
              <w:t xml:space="preserve">₂</w:t>
            </w:r>
            <w:r w:rsidDel="00000000" w:rsidR="00000000" w:rsidRPr="00000000">
              <w:rPr>
                <w:b w:val="1"/>
                <w:bCs w:val="1"/>
                <w:rtl w:val="0"/>
              </w:rPr>
              <w:t xml:space="preserve">FC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ind w:left="900" w:firstLine="0"/>
              <w:rPr>
                <w:b w:val="1"/>
                <w:bCs w:val="1"/>
              </w:rPr>
            </w:pPr>
            <w:r w:rsidDel="00000000" w:rsidR="00000000" w:rsidRPr="00000000">
              <w:rPr>
                <w:b w:val="1"/>
                <w:bCs w:val="1"/>
                <w:rtl w:val="0"/>
              </w:rPr>
              <w:t xml:space="preserve">Interpretation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ind w:left="900" w:firstLine="0"/>
              <w:rPr/>
            </w:pPr>
            <w:r w:rsidDel="00000000" w:rsidR="00000000" w:rsidRPr="00000000">
              <w:rPr>
                <w:rFonts w:ascii="Arial Unicode MS" w:cs="Arial Unicode MS" w:eastAsia="Arial Unicode MS" w:hAnsi="Arial Unicode MS"/>
                <w:rtl w:val="0"/>
              </w:rPr>
              <w:t xml:space="preserve">≥ +1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ind w:left="900" w:firstLine="0"/>
              <w:rPr/>
            </w:pPr>
            <w:r w:rsidDel="00000000" w:rsidR="00000000" w:rsidRPr="00000000">
              <w:rPr>
                <w:rtl w:val="0"/>
              </w:rPr>
              <w:t xml:space="preserve">Upregulated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ind w:left="900" w:firstLine="0"/>
              <w:rPr/>
            </w:pPr>
            <w:r w:rsidDel="00000000" w:rsidR="00000000" w:rsidRPr="00000000">
              <w:rPr>
                <w:rtl w:val="0"/>
              </w:rPr>
              <w:t xml:space="preserve">0 to &lt; +1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ind w:left="900" w:firstLine="0"/>
              <w:rPr/>
            </w:pPr>
            <w:r w:rsidDel="00000000" w:rsidR="00000000" w:rsidRPr="00000000">
              <w:rPr>
                <w:rtl w:val="0"/>
              </w:rPr>
              <w:t xml:space="preserve">Slight/no meaningful increase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ind w:left="900" w:firstLine="0"/>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ind w:left="900" w:firstLine="0"/>
              <w:rPr/>
            </w:pPr>
            <w:r w:rsidDel="00000000" w:rsidR="00000000" w:rsidRPr="00000000">
              <w:rPr>
                <w:rtl w:val="0"/>
              </w:rPr>
              <w:t xml:space="preserve">No change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ind w:left="900" w:firstLine="0"/>
              <w:rPr/>
            </w:pPr>
            <w:r w:rsidDel="00000000" w:rsidR="00000000" w:rsidRPr="00000000">
              <w:rPr>
                <w:rFonts w:ascii="Arial Unicode MS" w:cs="Arial Unicode MS" w:eastAsia="Arial Unicode MS" w:hAnsi="Arial Unicode MS"/>
                <w:rtl w:val="0"/>
              </w:rPr>
              <w:t xml:space="preserve">−1 to &lt; 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76" w:lineRule="auto"/>
              <w:ind w:left="900" w:firstLine="0"/>
              <w:rPr/>
            </w:pPr>
            <w:r w:rsidDel="00000000" w:rsidR="00000000" w:rsidRPr="00000000">
              <w:rPr>
                <w:rtl w:val="0"/>
              </w:rPr>
              <w:t xml:space="preserve">Slight/no meaningful decrease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ind w:left="900" w:firstLine="0"/>
              <w:rPr/>
            </w:pPr>
            <w:r w:rsidDel="00000000" w:rsidR="00000000" w:rsidRPr="00000000">
              <w:rPr>
                <w:rFonts w:ascii="Arial Unicode MS" w:cs="Arial Unicode MS" w:eastAsia="Arial Unicode MS" w:hAnsi="Arial Unicode MS"/>
                <w:rtl w:val="0"/>
              </w:rPr>
              <w:t xml:space="preserve">≤ −1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76" w:lineRule="auto"/>
              <w:ind w:left="900" w:firstLine="0"/>
              <w:rPr/>
            </w:pPr>
            <w:r w:rsidDel="00000000" w:rsidR="00000000" w:rsidRPr="00000000">
              <w:rPr>
                <w:rtl w:val="0"/>
              </w:rPr>
              <w:t xml:space="preserve">Downregulated </w:t>
            </w:r>
          </w:p>
        </w:tc>
      </w:tr>
    </w:tbl>
    <w:p w:rsidR="00000000" w:rsidDel="00000000" w:rsidP="00000000" w:rsidRDefault="00000000" w:rsidRPr="00000000" w14:paraId="0000005D">
      <w:pPr>
        <w:spacing w:line="276" w:lineRule="auto"/>
        <w:ind w:left="0" w:firstLine="0"/>
        <w:jc w:val="both"/>
        <w:rPr>
          <w:i w:val="1"/>
          <w:iCs w:val="1"/>
        </w:rPr>
      </w:pPr>
      <w:r w:rsidDel="00000000" w:rsidR="00000000" w:rsidRPr="00000000">
        <w:rPr>
          <w:rtl w:val="0"/>
        </w:rPr>
      </w:r>
    </w:p>
    <w:p w:rsidR="00000000" w:rsidDel="00000000" w:rsidP="00000000" w:rsidRDefault="00000000" w:rsidRPr="00000000" w14:paraId="0000005E">
      <w:pPr>
        <w:spacing w:line="276" w:lineRule="auto"/>
        <w:rPr>
          <w:b w:val="1"/>
          <w:bCs w:val="1"/>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Statistical Significance</w:t>
      </w:r>
    </w:p>
    <w:p w:rsidR="00000000" w:rsidDel="00000000" w:rsidP="00000000" w:rsidRDefault="00000000" w:rsidRPr="00000000" w14:paraId="00000060">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line="276" w:lineRule="auto"/>
        <w:ind w:firstLine="720"/>
        <w:jc w:val="both"/>
        <w:rPr/>
      </w:pPr>
      <w:r w:rsidDel="00000000" w:rsidR="00000000" w:rsidRPr="00000000">
        <w:rPr>
          <w:rtl w:val="0"/>
        </w:rPr>
        <w:t xml:space="preserve">After estimating gene expression changes, statistical testing is performed to determine whether the observed differences are likely due to biological effects rather than random variation. Each gene is assigned a p-value, which represents the probability of observing the difference by chance.</w:t>
      </w:r>
    </w:p>
    <w:p w:rsidR="00000000" w:rsidDel="00000000" w:rsidP="00000000" w:rsidRDefault="00000000" w:rsidRPr="00000000" w14:paraId="00000062">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63">
      <w:pPr>
        <w:spacing w:line="276" w:lineRule="auto"/>
        <w:ind w:firstLine="720"/>
        <w:jc w:val="both"/>
        <w:rPr/>
      </w:pPr>
      <w:r w:rsidDel="00000000" w:rsidR="00000000" w:rsidRPr="00000000">
        <w:rPr>
          <w:rtl w:val="0"/>
        </w:rPr>
        <w:t xml:space="preserve">Because RNA-seq experiments typically test thousands of genes simultaneously, many genes may appear significant simply due to random chance. To reduce false positives, p-values are adjusted for multiple testing using the</w:t>
      </w:r>
      <w:r w:rsidDel="00000000" w:rsidR="00000000" w:rsidRPr="00000000">
        <w:rPr>
          <w:rtl w:val="0"/>
        </w:rPr>
        <w:t xml:space="preserve"> FDR-adjusted p-value (padj). In</w:t>
      </w:r>
      <w:r w:rsidDel="00000000" w:rsidR="00000000" w:rsidRPr="00000000">
        <w:rPr>
          <w:rtl w:val="0"/>
        </w:rPr>
        <w:t xml:space="preserve"> DESeq2, genes are commonly considered significantly differentially expressed when they meet both FDR &lt; 0.05 and |log</w:t>
      </w:r>
      <w:r w:rsidDel="00000000" w:rsidR="00000000" w:rsidRPr="00000000">
        <w:rPr>
          <w:rFonts w:ascii="Times New Roman" w:cs="Times New Roman" w:eastAsia="Times New Roman" w:hAnsi="Times New Roman"/>
          <w:rtl w:val="0"/>
        </w:rPr>
        <w:t xml:space="preserve">₂</w:t>
      </w:r>
      <w:r w:rsidDel="00000000" w:rsidR="00000000" w:rsidRPr="00000000">
        <w:rPr>
          <w:rFonts w:ascii="Arial Unicode MS" w:cs="Arial Unicode MS" w:eastAsia="Arial Unicode MS" w:hAnsi="Arial Unicode MS"/>
          <w:rtl w:val="0"/>
        </w:rPr>
        <w:t xml:space="preserve">FC| ≥ 1, indicating that the gene shows both a statistically significant and biologically meaningful change in expression.</w:t>
      </w:r>
    </w:p>
    <w:p w:rsidR="00000000" w:rsidDel="00000000" w:rsidP="00000000" w:rsidRDefault="00000000" w:rsidRPr="00000000" w14:paraId="00000064">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65">
      <w:pPr>
        <w:spacing w:line="276" w:lineRule="auto"/>
        <w:jc w:val="center"/>
        <w:rPr/>
      </w:pPr>
      <w:r w:rsidDel="00000000" w:rsidR="00000000" w:rsidRPr="00000000">
        <w:rPr/>
        <w:drawing>
          <wp:inline distB="114300" distT="114300" distL="114300" distR="114300">
            <wp:extent cx="2159000" cy="2514600"/>
            <wp:effectExtent b="0" l="0" r="0" t="0"/>
            <wp:docPr id="1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159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jc w:val="center"/>
        <w:rPr>
          <w:i w:val="1"/>
          <w:iCs w:val="1"/>
          <w:sz w:val="16"/>
          <w:szCs w:val="16"/>
        </w:rPr>
      </w:pPr>
      <w:r w:rsidDel="00000000" w:rsidR="00000000" w:rsidRPr="00000000">
        <w:rPr>
          <w:i w:val="1"/>
          <w:iCs w:val="1"/>
          <w:sz w:val="16"/>
          <w:szCs w:val="16"/>
          <w:rtl w:val="0"/>
        </w:rPr>
        <w:t xml:space="preserve">Diagram created using ChatGPT (OpenAI) based on the instructor's workflow.</w:t>
      </w:r>
    </w:p>
    <w:p w:rsidR="00000000" w:rsidDel="00000000" w:rsidP="00000000" w:rsidRDefault="00000000" w:rsidRPr="00000000" w14:paraId="00000067">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line="276" w:lineRule="auto"/>
        <w:rPr>
          <w:b w:val="1"/>
          <w:bCs w:val="1"/>
        </w:rPr>
      </w:pPr>
      <w:r w:rsidDel="00000000" w:rsidR="00000000" w:rsidRPr="00000000">
        <w:rPr>
          <w:b w:val="1"/>
          <w:bCs w:val="1"/>
          <w:rtl w:val="0"/>
        </w:rPr>
        <w:t xml:space="preserve">Biological interpretation</w:t>
      </w:r>
    </w:p>
    <w:p w:rsidR="00000000" w:rsidDel="00000000" w:rsidP="00000000" w:rsidRDefault="00000000" w:rsidRPr="00000000" w14:paraId="0000006B">
      <w:pPr>
        <w:spacing w:line="276" w:lineRule="auto"/>
        <w:rPr/>
      </w:pPr>
      <w:r w:rsidDel="00000000" w:rsidR="00000000" w:rsidRPr="00000000">
        <w:rPr>
          <w:rtl w:val="0"/>
        </w:rPr>
        <w:t xml:space="preserve"> </w:t>
      </w:r>
    </w:p>
    <w:p w:rsidR="00000000" w:rsidDel="00000000" w:rsidP="00000000" w:rsidRDefault="00000000" w:rsidRPr="00000000" w14:paraId="0000006C">
      <w:pPr>
        <w:spacing w:line="276" w:lineRule="auto"/>
        <w:ind w:firstLine="720"/>
        <w:jc w:val="both"/>
        <w:rPr/>
      </w:pPr>
      <w:r w:rsidDel="00000000" w:rsidR="00000000" w:rsidRPr="00000000">
        <w:rPr>
          <w:rtl w:val="0"/>
        </w:rPr>
        <w:t xml:space="preserve">Differentially expressed genes (DEGs) provide insights into the biological processes underlying a trait or response. In this example, postharvest stress activates pathways involved in polyphenol production and increases the expression of polyphenol oxidase (PPO). PPO oxidizes polyphenols into quinones, leading to the formation of brown pigments and enzymatic browning. By identifying genes and pathways that are differentially expressed, transcriptomics helps explain the molecular basis of the observed phenotype.</w:t>
      </w:r>
    </w:p>
    <w:p w:rsidR="00000000" w:rsidDel="00000000" w:rsidP="00000000" w:rsidRDefault="00000000" w:rsidRPr="00000000" w14:paraId="0000006D">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line="276" w:lineRule="auto"/>
        <w:jc w:val="center"/>
        <w:rPr>
          <w:b w:val="1"/>
          <w:bCs w:val="1"/>
        </w:rPr>
      </w:pPr>
      <w:r w:rsidDel="00000000" w:rsidR="00000000" w:rsidRPr="00000000">
        <w:rPr>
          <w:b w:val="1"/>
          <w:bCs w:val="1"/>
        </w:rPr>
        <w:drawing>
          <wp:inline distB="114300" distT="114300" distL="114300" distR="114300">
            <wp:extent cx="2692400" cy="2070100"/>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692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jc w:val="center"/>
        <w:rPr>
          <w:i w:val="1"/>
          <w:iCs w:val="1"/>
          <w:sz w:val="14"/>
          <w:szCs w:val="14"/>
        </w:rPr>
      </w:pPr>
      <w:r w:rsidDel="00000000" w:rsidR="00000000" w:rsidRPr="00000000">
        <w:rPr>
          <w:i w:val="1"/>
          <w:iCs w:val="1"/>
          <w:sz w:val="14"/>
          <w:szCs w:val="14"/>
          <w:rtl w:val="0"/>
        </w:rPr>
        <w:t xml:space="preserve">Wang, C., Meng, L., Zhang, G., Yang, X., Pang, B., Cheng, J., He, B., &amp; Sun, F. (2024). Unraveling crop enzymatic browning through integrated omics. Frontiers in Plant Science, 15, 1342639. https://doi.org/10.3389/fpls.2024.1342639</w:t>
      </w:r>
    </w:p>
    <w:p w:rsidR="00000000" w:rsidDel="00000000" w:rsidP="00000000" w:rsidRDefault="00000000" w:rsidRPr="00000000" w14:paraId="00000070">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2">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3">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4">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5">
      <w:pPr>
        <w:spacing w:line="276" w:lineRule="auto"/>
        <w:rPr>
          <w:b w:val="1"/>
          <w:bCs w:val="1"/>
        </w:rPr>
      </w:pPr>
      <w:r w:rsidDel="00000000" w:rsidR="00000000" w:rsidRPr="00000000">
        <w:rPr>
          <w:b w:val="1"/>
          <w:bCs w:val="1"/>
          <w:rtl w:val="0"/>
        </w:rPr>
        <w:t xml:space="preserve">Volcano Plots</w:t>
      </w:r>
    </w:p>
    <w:p w:rsidR="00000000" w:rsidDel="00000000" w:rsidP="00000000" w:rsidRDefault="00000000" w:rsidRPr="00000000" w14:paraId="00000076">
      <w:pPr>
        <w:spacing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7">
      <w:pPr>
        <w:spacing w:line="276" w:lineRule="auto"/>
        <w:jc w:val="both"/>
        <w:rPr>
          <w:i w:val="1"/>
          <w:iCs w:val="1"/>
        </w:rPr>
      </w:pPr>
      <w:r w:rsidDel="00000000" w:rsidR="00000000" w:rsidRPr="00000000">
        <w:rPr>
          <w:i w:val="1"/>
          <w:iCs w:val="1"/>
          <w:rtl w:val="0"/>
        </w:rPr>
        <w:t xml:space="preserve">Question answered: Which genes are significantly upregulated or downregulated between two conditions?</w:t>
      </w:r>
    </w:p>
    <w:p w:rsidR="00000000" w:rsidDel="00000000" w:rsidP="00000000" w:rsidRDefault="00000000" w:rsidRPr="00000000" w14:paraId="00000078">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79">
      <w:pPr>
        <w:spacing w:line="276" w:lineRule="auto"/>
        <w:jc w:val="both"/>
        <w:rPr>
          <w:i w:val="1"/>
          <w:iCs w:val="1"/>
        </w:rPr>
      </w:pPr>
      <w:r w:rsidDel="00000000" w:rsidR="00000000" w:rsidRPr="00000000">
        <w:rPr>
          <w:i w:val="1"/>
          <w:iCs w:val="1"/>
          <w:rtl w:val="0"/>
        </w:rPr>
        <w:t xml:space="preserve">A volcano plot displays the log</w:t>
      </w:r>
      <w:r w:rsidDel="00000000" w:rsidR="00000000" w:rsidRPr="00000000">
        <w:rPr>
          <w:rFonts w:ascii="Times New Roman" w:cs="Times New Roman" w:eastAsia="Times New Roman" w:hAnsi="Times New Roman"/>
          <w:i w:val="1"/>
          <w:iCs w:val="1"/>
          <w:rtl w:val="0"/>
        </w:rPr>
        <w:t xml:space="preserve">₂</w:t>
      </w:r>
      <w:r w:rsidDel="00000000" w:rsidR="00000000" w:rsidRPr="00000000">
        <w:rPr>
          <w:rFonts w:ascii="Arial Unicode MS" w:cs="Arial Unicode MS" w:eastAsia="Arial Unicode MS" w:hAnsi="Arial Unicode MS"/>
          <w:i w:val="1"/>
          <w:iCs w:val="1"/>
          <w:rtl w:val="0"/>
        </w:rPr>
        <w:t xml:space="preserve"> fold change (x-axis) against the −log</w:t>
      </w:r>
      <w:r w:rsidDel="00000000" w:rsidR="00000000" w:rsidRPr="00000000">
        <w:rPr>
          <w:rFonts w:ascii="Times New Roman" w:cs="Times New Roman" w:eastAsia="Times New Roman" w:hAnsi="Times New Roman"/>
          <w:i w:val="1"/>
          <w:iCs w:val="1"/>
          <w:rtl w:val="0"/>
        </w:rPr>
        <w:t xml:space="preserve">₁₀</w:t>
      </w:r>
      <w:r w:rsidDel="00000000" w:rsidR="00000000" w:rsidRPr="00000000">
        <w:rPr>
          <w:i w:val="1"/>
          <w:iCs w:val="1"/>
          <w:rtl w:val="0"/>
        </w:rPr>
        <w:t xml:space="preserve">(FDR) (y-axis). Genes in the upper left and upper right are significantly downregulated and upregulated, respectively, while genes near the center show little or no expression change.</w:t>
      </w:r>
    </w:p>
    <w:p w:rsidR="00000000" w:rsidDel="00000000" w:rsidP="00000000" w:rsidRDefault="00000000" w:rsidRPr="00000000" w14:paraId="0000007A">
      <w:pPr>
        <w:spacing w:line="276" w:lineRule="auto"/>
        <w:jc w:val="both"/>
        <w:rPr>
          <w:i w:val="1"/>
          <w:iCs w:val="1"/>
        </w:rPr>
      </w:pPr>
      <w:r w:rsidDel="00000000" w:rsidR="00000000" w:rsidRPr="00000000">
        <w:rPr>
          <w:i w:val="1"/>
          <w:iCs w:val="1"/>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95"/>
        <w:tblGridChange w:id="0">
          <w:tblGrid>
            <w:gridCol w:w="4500"/>
            <w:gridCol w:w="4395"/>
          </w:tblGrid>
        </w:tblGridChange>
      </w:tblGrid>
      <w:tr>
        <w:trPr>
          <w:cantSplit w:val="0"/>
          <w:trHeight w:val="3585" w:hRule="atLeast"/>
          <w:tblHeader w:val="0"/>
        </w:trPr>
        <w:tc>
          <w:tcPr>
            <w:tcBorders>
              <w:top w:color="000000" w:space="0" w:sz="6" w:val="single"/>
              <w:left w:color="000000" w:space="0" w:sz="6" w:val="single"/>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both"/>
              <w:rPr>
                <w:i w:val="1"/>
                <w:iCs w:val="1"/>
              </w:rPr>
            </w:pPr>
            <w:r w:rsidDel="00000000" w:rsidR="00000000" w:rsidRPr="00000000">
              <w:rPr>
                <w:i w:val="1"/>
                <w:iCs w:val="1"/>
              </w:rPr>
              <w:drawing>
                <wp:inline distB="114300" distT="114300" distL="114300" distR="114300">
                  <wp:extent cx="2590800" cy="2273300"/>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590800" cy="2273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line="276" w:lineRule="auto"/>
              <w:rPr>
                <w:sz w:val="20"/>
                <w:szCs w:val="20"/>
              </w:rPr>
            </w:pPr>
            <w:r w:rsidDel="00000000" w:rsidR="00000000" w:rsidRPr="00000000">
              <w:rPr>
                <w:sz w:val="20"/>
                <w:szCs w:val="20"/>
                <w:rtl w:val="0"/>
              </w:rPr>
              <w:t xml:space="preserve">Figure 7. (b) The volcano plot of the differential genes between Lys/Arg and control group at 0 h.</w:t>
            </w:r>
          </w:p>
          <w:p w:rsidR="00000000" w:rsidDel="00000000" w:rsidP="00000000" w:rsidRDefault="00000000" w:rsidRPr="00000000" w14:paraId="0000007D">
            <w:pPr>
              <w:spacing w:line="276" w:lineRule="auto"/>
              <w:rPr>
                <w:i w:val="1"/>
                <w:iCs w:val="1"/>
                <w:sz w:val="14"/>
                <w:szCs w:val="14"/>
              </w:rPr>
            </w:pPr>
            <w:r w:rsidDel="00000000" w:rsidR="00000000" w:rsidRPr="00000000">
              <w:rPr>
                <w:i w:val="1"/>
                <w:iCs w:val="1"/>
                <w:sz w:val="14"/>
                <w:szCs w:val="14"/>
                <w:rtl w:val="0"/>
              </w:rPr>
              <w:t xml:space="preserve">Liu, Y., Wang, S., Yuan, K., Li, Y., Ding, Q., Shi, J., Zhang, S., &amp; Liu, P. (2026). Transcriptomics explored the molecular mechanism by which l-lysine/arginine inhibits fresh-cut apple browning. Horticulturae, 12(2), 210. https://doi.org/10.3390/horticulturae12020210</w:t>
            </w:r>
          </w:p>
          <w:p w:rsidR="00000000" w:rsidDel="00000000" w:rsidP="00000000" w:rsidRDefault="00000000" w:rsidRPr="00000000" w14:paraId="0000007E">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F">
            <w:pPr>
              <w:spacing w:line="276" w:lineRule="auto"/>
              <w:jc w:val="both"/>
              <w:rPr>
                <w:i w:val="1"/>
                <w:iCs w:val="1"/>
              </w:rPr>
            </w:pPr>
            <w:r w:rsidDel="00000000" w:rsidR="00000000" w:rsidRPr="00000000">
              <w:rPr>
                <w:i w:val="1"/>
                <w:iCs w:val="1"/>
                <w:rtl w:val="0"/>
              </w:rPr>
              <w:t xml:space="preserve"> </w:t>
            </w:r>
          </w:p>
        </w:tc>
      </w:tr>
    </w:tbl>
    <w:p w:rsidR="00000000" w:rsidDel="00000000" w:rsidP="00000000" w:rsidRDefault="00000000" w:rsidRPr="00000000" w14:paraId="00000080">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81">
      <w:pPr>
        <w:spacing w:line="276" w:lineRule="auto"/>
        <w:rPr>
          <w:b w:val="1"/>
          <w:bCs w:val="1"/>
        </w:rPr>
      </w:pPr>
      <w:r w:rsidDel="00000000" w:rsidR="00000000" w:rsidRPr="00000000">
        <w:rPr>
          <w:b w:val="1"/>
          <w:bCs w:val="1"/>
          <w:rtl w:val="0"/>
        </w:rPr>
        <w:t xml:space="preserve">Venn diagram</w:t>
      </w:r>
    </w:p>
    <w:p w:rsidR="00000000" w:rsidDel="00000000" w:rsidP="00000000" w:rsidRDefault="00000000" w:rsidRPr="00000000" w14:paraId="00000082">
      <w:pPr>
        <w:spacing w:line="276" w:lineRule="auto"/>
        <w:rPr/>
      </w:pPr>
      <w:r w:rsidDel="00000000" w:rsidR="00000000" w:rsidRPr="00000000">
        <w:rPr>
          <w:rtl w:val="0"/>
        </w:rPr>
        <w:t xml:space="preserve"> </w:t>
      </w:r>
    </w:p>
    <w:p w:rsidR="00000000" w:rsidDel="00000000" w:rsidP="00000000" w:rsidRDefault="00000000" w:rsidRPr="00000000" w14:paraId="00000083">
      <w:pPr>
        <w:spacing w:line="276" w:lineRule="auto"/>
        <w:jc w:val="both"/>
        <w:rPr>
          <w:i w:val="1"/>
          <w:iCs w:val="1"/>
        </w:rPr>
      </w:pPr>
      <w:r w:rsidDel="00000000" w:rsidR="00000000" w:rsidRPr="00000000">
        <w:rPr>
          <w:i w:val="1"/>
          <w:iCs w:val="1"/>
          <w:rtl w:val="0"/>
        </w:rPr>
        <w:t xml:space="preserve">Question answered: Which differentially expressed genes are unique or shared among different comparisons or treatments?</w:t>
      </w:r>
    </w:p>
    <w:p w:rsidR="00000000" w:rsidDel="00000000" w:rsidP="00000000" w:rsidRDefault="00000000" w:rsidRPr="00000000" w14:paraId="00000084">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85">
      <w:pPr>
        <w:spacing w:line="276" w:lineRule="auto"/>
        <w:jc w:val="both"/>
        <w:rPr>
          <w:i w:val="1"/>
          <w:iCs w:val="1"/>
        </w:rPr>
      </w:pPr>
      <w:r w:rsidDel="00000000" w:rsidR="00000000" w:rsidRPr="00000000">
        <w:rPr>
          <w:i w:val="1"/>
          <w:iCs w:val="1"/>
          <w:rtl w:val="0"/>
        </w:rPr>
        <w:t xml:space="preserve">A Venn diagram summarizes the overlap of DEGs between multiple conditions. Shared regions indicate common gene responses, whereas non-overlapping regions represent genes unique to a specific treatment or comparison.</w:t>
      </w:r>
    </w:p>
    <w:p w:rsidR="00000000" w:rsidDel="00000000" w:rsidP="00000000" w:rsidRDefault="00000000" w:rsidRPr="00000000" w14:paraId="00000086">
      <w:pPr>
        <w:spacing w:line="276" w:lineRule="auto"/>
        <w:jc w:val="both"/>
        <w:rPr>
          <w:i w:val="1"/>
          <w:iCs w:val="1"/>
        </w:rPr>
      </w:pPr>
      <w:r w:rsidDel="00000000" w:rsidR="00000000" w:rsidRPr="00000000">
        <w:rPr>
          <w:i w:val="1"/>
          <w:iCs w:val="1"/>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3.280507131538"/>
        <w:gridCol w:w="2966.7194928684626"/>
        <w:tblGridChange w:id="0">
          <w:tblGrid>
            <w:gridCol w:w="6393.280507131538"/>
            <w:gridCol w:w="2966.7194928684626"/>
          </w:tblGrid>
        </w:tblGridChange>
      </w:tblGrid>
      <w:tr>
        <w:trPr>
          <w:cantSplit w:val="0"/>
          <w:trHeight w:val="225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line="276" w:lineRule="auto"/>
              <w:rPr>
                <w:i w:val="1"/>
                <w:iCs w:val="1"/>
              </w:rPr>
            </w:pPr>
            <w:r w:rsidDel="00000000" w:rsidR="00000000" w:rsidRPr="00000000">
              <w:rPr>
                <w:i w:val="1"/>
                <w:iCs w:val="1"/>
              </w:rPr>
              <w:drawing>
                <wp:inline distB="114300" distT="114300" distL="114300" distR="114300">
                  <wp:extent cx="5880100" cy="14351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80100" cy="1435100"/>
                          </a:xfrm>
                          <a:prstGeom prst="rect"/>
                          <a:ln/>
                        </pic:spPr>
                      </pic:pic>
                    </a:graphicData>
                  </a:graphic>
                </wp:inline>
              </w:drawing>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line="276" w:lineRule="auto"/>
              <w:rPr/>
            </w:pPr>
            <w:r w:rsidDel="00000000" w:rsidR="00000000" w:rsidRPr="00000000">
              <w:rPr/>
              <w:drawing>
                <wp:inline distB="114300" distT="114300" distL="114300" distR="114300">
                  <wp:extent cx="3975100" cy="53340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9751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line="276" w:lineRule="auto"/>
              <w:rPr>
                <w:i w:val="1"/>
                <w:iCs w:val="1"/>
                <w:sz w:val="14"/>
                <w:szCs w:val="14"/>
              </w:rPr>
            </w:pPr>
            <w:r w:rsidDel="00000000" w:rsidR="00000000" w:rsidRPr="00000000">
              <w:rPr>
                <w:i w:val="1"/>
                <w:iCs w:val="1"/>
                <w:sz w:val="14"/>
                <w:szCs w:val="14"/>
                <w:rtl w:val="0"/>
              </w:rPr>
              <w:t xml:space="preserve">Wang, L., Wang, W., Shan, J., Li, C., Suo, H., Liu, J., An, K., Li, X., &amp; Xiong, X. (2023). A genome-wide view of the transcriptome dynamics of fresh-cut potato tubers. Genes, 14(1), 181. https://doi.org/10.3390/genes14010181</w:t>
            </w:r>
          </w:p>
        </w:tc>
      </w:tr>
    </w:tbl>
    <w:p w:rsidR="00000000" w:rsidDel="00000000" w:rsidP="00000000" w:rsidRDefault="00000000" w:rsidRPr="00000000" w14:paraId="0000008B">
      <w:pPr>
        <w:spacing w:line="276" w:lineRule="auto"/>
        <w:rPr>
          <w:b w:val="1"/>
          <w:bCs w:val="1"/>
        </w:rPr>
      </w:pPr>
      <w:r w:rsidDel="00000000" w:rsidR="00000000" w:rsidRPr="00000000">
        <w:rPr>
          <w:b w:val="1"/>
          <w:bCs w:val="1"/>
          <w:rtl w:val="0"/>
        </w:rPr>
        <w:t xml:space="preserve">GO enrichment</w:t>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D">
      <w:pPr>
        <w:spacing w:line="276" w:lineRule="auto"/>
        <w:jc w:val="both"/>
        <w:rPr>
          <w:i w:val="1"/>
          <w:iCs w:val="1"/>
        </w:rPr>
      </w:pPr>
      <w:r w:rsidDel="00000000" w:rsidR="00000000" w:rsidRPr="00000000">
        <w:rPr>
          <w:i w:val="1"/>
          <w:iCs w:val="1"/>
          <w:rtl w:val="0"/>
        </w:rPr>
        <w:t xml:space="preserve">Question answered: What biological functions or pathways are affected by the differentially expressed genes?</w:t>
      </w:r>
    </w:p>
    <w:p w:rsidR="00000000" w:rsidDel="00000000" w:rsidP="00000000" w:rsidRDefault="00000000" w:rsidRPr="00000000" w14:paraId="0000008E">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8F">
      <w:pPr>
        <w:spacing w:line="276" w:lineRule="auto"/>
        <w:jc w:val="both"/>
        <w:rPr>
          <w:i w:val="1"/>
          <w:iCs w:val="1"/>
        </w:rPr>
      </w:pPr>
      <w:r w:rsidDel="00000000" w:rsidR="00000000" w:rsidRPr="00000000">
        <w:rPr>
          <w:i w:val="1"/>
          <w:iCs w:val="1"/>
          <w:rtl w:val="0"/>
        </w:rPr>
        <w:t xml:space="preserve">GO enrichment groups DEGs into Biological Process (BP), Cellular Component (CC), and Molecular Function (MF) categories. Larger dots indicate a higher proportion of genes associated with a GO term, while darker colors represent more statistically significant enrichment.</w:t>
      </w:r>
    </w:p>
    <w:p w:rsidR="00000000" w:rsidDel="00000000" w:rsidP="00000000" w:rsidRDefault="00000000" w:rsidRPr="00000000" w14:paraId="00000090">
      <w:pPr>
        <w:spacing w:line="276" w:lineRule="auto"/>
        <w:rPr>
          <w:b w:val="1"/>
          <w:bCs w:val="1"/>
        </w:rPr>
      </w:pPr>
      <w:r w:rsidDel="00000000" w:rsidR="00000000" w:rsidRPr="00000000">
        <w:rPr>
          <w:b w:val="1"/>
          <w:bCs w:val="1"/>
          <w:rtl w:val="0"/>
        </w:rPr>
        <w:t xml:space="preserve"> </w:t>
      </w:r>
    </w:p>
    <w:tbl>
      <w:tblPr>
        <w:tblStyle w:val="Table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3765"/>
        <w:tblGridChange w:id="0">
          <w:tblGrid>
            <w:gridCol w:w="5400"/>
            <w:gridCol w:w="3765"/>
          </w:tblGrid>
        </w:tblGridChange>
      </w:tblGrid>
      <w:tr>
        <w:trPr>
          <w:cantSplit w:val="0"/>
          <w:trHeight w:val="403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line="276" w:lineRule="auto"/>
              <w:rPr>
                <w:b w:val="1"/>
                <w:bCs w:val="1"/>
              </w:rPr>
            </w:pPr>
            <w:r w:rsidDel="00000000" w:rsidR="00000000" w:rsidRPr="00000000">
              <w:rPr>
                <w:b w:val="1"/>
                <w:bCs w:val="1"/>
              </w:rPr>
              <w:drawing>
                <wp:inline distB="114300" distT="114300" distL="114300" distR="114300">
                  <wp:extent cx="5676900" cy="2565400"/>
                  <wp:effectExtent b="0" l="0" r="0" t="0"/>
                  <wp:docPr id="1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676900" cy="2565400"/>
                          </a:xfrm>
                          <a:prstGeom prst="rect"/>
                          <a:ln/>
                        </pic:spPr>
                      </pic:pic>
                    </a:graphicData>
                  </a:graphic>
                </wp:inline>
              </w:drawing>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Figure 3. GO terms of the functional categorization of up- and down-regulated DEGs of all common DEGs at different times in response to cut-wounding. Significantly enriched GO terms are indicated by * for a p-value less than and equal to 0.05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line="276" w:lineRule="auto"/>
              <w:rPr>
                <w:i w:val="1"/>
                <w:iCs w:val="1"/>
                <w:sz w:val="14"/>
                <w:szCs w:val="14"/>
              </w:rPr>
            </w:pPr>
            <w:r w:rsidDel="00000000" w:rsidR="00000000" w:rsidRPr="00000000">
              <w:rPr>
                <w:i w:val="1"/>
                <w:iCs w:val="1"/>
                <w:sz w:val="14"/>
                <w:szCs w:val="14"/>
                <w:rtl w:val="0"/>
              </w:rPr>
              <w:t xml:space="preserve">Wang, L., Wang, W., Shan, J., Li, C., Suo, H., Liu, J., An, K., Li, X., &amp; Xiong, X. (2023). A genome-wide view of the transcriptome dynamics of fresh-cut potato tubers. Genes, 14(1), 181. https://doi.org/10.3390/genes14010181</w:t>
            </w:r>
          </w:p>
        </w:tc>
      </w:tr>
    </w:tbl>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96">
      <w:pPr>
        <w:spacing w:line="276" w:lineRule="auto"/>
        <w:rPr>
          <w:b w:val="1"/>
          <w:bCs w:val="1"/>
        </w:rPr>
      </w:pPr>
      <w:r w:rsidDel="00000000" w:rsidR="00000000" w:rsidRPr="00000000">
        <w:rPr>
          <w:b w:val="1"/>
          <w:bCs w:val="1"/>
          <w:rtl w:val="0"/>
        </w:rPr>
        <w:t xml:space="preserve">Heatmaps</w:t>
      </w:r>
    </w:p>
    <w:p w:rsidR="00000000" w:rsidDel="00000000" w:rsidP="00000000" w:rsidRDefault="00000000" w:rsidRPr="00000000" w14:paraId="00000097">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98">
      <w:pPr>
        <w:spacing w:line="276" w:lineRule="auto"/>
        <w:jc w:val="both"/>
        <w:rPr>
          <w:i w:val="1"/>
          <w:iCs w:val="1"/>
        </w:rPr>
      </w:pPr>
      <w:r w:rsidDel="00000000" w:rsidR="00000000" w:rsidRPr="00000000">
        <w:rPr>
          <w:i w:val="1"/>
          <w:iCs w:val="1"/>
          <w:rtl w:val="0"/>
        </w:rPr>
        <w:t xml:space="preserve">Question answered: How do gene expression patterns vary across samples or treatments?</w:t>
      </w:r>
    </w:p>
    <w:p w:rsidR="00000000" w:rsidDel="00000000" w:rsidP="00000000" w:rsidRDefault="00000000" w:rsidRPr="00000000" w14:paraId="00000099">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9A">
      <w:pPr>
        <w:spacing w:line="276" w:lineRule="auto"/>
        <w:jc w:val="both"/>
        <w:rPr>
          <w:i w:val="1"/>
          <w:iCs w:val="1"/>
        </w:rPr>
      </w:pPr>
      <w:r w:rsidDel="00000000" w:rsidR="00000000" w:rsidRPr="00000000">
        <w:rPr>
          <w:i w:val="1"/>
          <w:iCs w:val="1"/>
          <w:rtl w:val="0"/>
        </w:rPr>
        <w:t xml:space="preserve">A heatmap visualizes the expression levels of multiple genes across samples using a color scale. Genes or samples with similar expression profiles cluster together, making it easier to identify co-expressed genes and treatment-specific expression patterns.</w:t>
      </w:r>
    </w:p>
    <w:p w:rsidR="00000000" w:rsidDel="00000000" w:rsidP="00000000" w:rsidRDefault="00000000" w:rsidRPr="00000000" w14:paraId="0000009B">
      <w:pPr>
        <w:spacing w:line="276" w:lineRule="auto"/>
        <w:rPr>
          <w:b w:val="1"/>
          <w:bCs w:val="1"/>
        </w:rPr>
      </w:pPr>
      <w:r w:rsidDel="00000000" w:rsidR="00000000" w:rsidRPr="00000000">
        <w:rPr>
          <w:b w:val="1"/>
          <w:bCs w:val="1"/>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2.188449848025"/>
        <w:gridCol w:w="2517.811550151976"/>
        <w:tblGridChange w:id="0">
          <w:tblGrid>
            <w:gridCol w:w="6842.188449848025"/>
            <w:gridCol w:w="2517.811550151976"/>
          </w:tblGrid>
        </w:tblGridChange>
      </w:tblGrid>
      <w:tr>
        <w:trPr>
          <w:cantSplit w:val="0"/>
          <w:trHeight w:val="50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line="276" w:lineRule="auto"/>
              <w:rPr>
                <w:b w:val="1"/>
                <w:bCs w:val="1"/>
              </w:rPr>
            </w:pPr>
            <w:r w:rsidDel="00000000" w:rsidR="00000000" w:rsidRPr="00000000">
              <w:rPr>
                <w:b w:val="1"/>
                <w:bCs w:val="1"/>
              </w:rPr>
              <w:drawing>
                <wp:inline distB="114300" distT="114300" distL="114300" distR="114300">
                  <wp:extent cx="4445000" cy="3187700"/>
                  <wp:effectExtent b="0" l="0" r="0" t="0"/>
                  <wp:docPr id="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445000" cy="318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line="276" w:lineRule="auto"/>
              <w:rPr>
                <w:i w:val="1"/>
                <w:iCs w:val="1"/>
                <w:sz w:val="14"/>
                <w:szCs w:val="14"/>
              </w:rPr>
            </w:pPr>
            <w:r w:rsidDel="00000000" w:rsidR="00000000" w:rsidRPr="00000000">
              <w:rPr>
                <w:i w:val="1"/>
                <w:iCs w:val="1"/>
                <w:sz w:val="14"/>
                <w:szCs w:val="14"/>
                <w:rtl w:val="0"/>
              </w:rPr>
              <w:t xml:space="preserve">Wang, L., Wang, W., Shan, J., Li, C., Suo, H., Liu, J., An, K., Li, X., &amp; Xiong, X. (2023). A genome-wide view of the transcriptome dynamics of fresh-cut potato tubers. Genes, 14(1), 181. https://doi.org/10.3390/genes14010181</w:t>
            </w:r>
          </w:p>
          <w:p w:rsidR="00000000" w:rsidDel="00000000" w:rsidP="00000000" w:rsidRDefault="00000000" w:rsidRPr="00000000" w14:paraId="0000009E">
            <w:pPr>
              <w:spacing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A0">
      <w:pPr>
        <w:spacing w:line="276" w:lineRule="auto"/>
        <w:jc w:val="center"/>
        <w:rPr>
          <w:i w:val="1"/>
          <w:iCs w:val="1"/>
          <w:sz w:val="10"/>
          <w:szCs w:val="10"/>
        </w:rPr>
      </w:pPr>
      <w:r w:rsidDel="00000000" w:rsidR="00000000" w:rsidRPr="00000000">
        <w:rPr>
          <w:i w:val="1"/>
          <w:iCs w:val="1"/>
          <w:sz w:val="10"/>
          <w:szCs w:val="10"/>
          <w:rtl w:val="0"/>
        </w:rPr>
        <w:t xml:space="preserve"> </w:t>
      </w:r>
    </w:p>
    <w:p w:rsidR="00000000" w:rsidDel="00000000" w:rsidP="00000000" w:rsidRDefault="00000000" w:rsidRPr="00000000" w14:paraId="000000A1">
      <w:pPr>
        <w:spacing w:line="276" w:lineRule="auto"/>
        <w:rPr>
          <w:b w:val="1"/>
          <w:bCs w:val="1"/>
        </w:rPr>
      </w:pPr>
      <w:r w:rsidDel="00000000" w:rsidR="00000000" w:rsidRPr="00000000">
        <w:rPr>
          <w:b w:val="1"/>
          <w:bCs w:val="1"/>
          <w:rtl w:val="0"/>
        </w:rPr>
        <w:t xml:space="preserve">Gene Expression Validation by qRT-PCR</w:t>
      </w:r>
    </w:p>
    <w:p w:rsidR="00000000" w:rsidDel="00000000" w:rsidP="00000000" w:rsidRDefault="00000000" w:rsidRPr="00000000" w14:paraId="000000A2">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A3">
      <w:pPr>
        <w:spacing w:line="276" w:lineRule="auto"/>
        <w:ind w:firstLine="720"/>
        <w:jc w:val="both"/>
        <w:rPr/>
      </w:pPr>
      <w:r w:rsidDel="00000000" w:rsidR="00000000" w:rsidRPr="00000000">
        <w:rPr>
          <w:rtl w:val="0"/>
        </w:rPr>
        <w:t xml:space="preserve">RNA sequencing measures the expression of thousands of genes simultaneously, whereas quantitative reverse transcription PCR (qRT-PCR) is commonly used to validate the expression of selected genes identified from RNA-seq analysis. Total RNA is first converted into complementary DNA (cDNA) by reverse transcription, after which the cDNA is amplified and quantified by real-time PCR. The accumulation of fluorescence during amplification is measured to determine the expression level of the target gene relative to a reference gene.</w:t>
      </w:r>
    </w:p>
    <w:p w:rsidR="00000000" w:rsidDel="00000000" w:rsidP="00000000" w:rsidRDefault="00000000" w:rsidRPr="00000000" w14:paraId="000000A4">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A5">
      <w:pPr>
        <w:spacing w:line="276" w:lineRule="auto"/>
        <w:jc w:val="both"/>
        <w:rPr>
          <w:b w:val="1"/>
          <w:bCs w:val="1"/>
        </w:rPr>
      </w:pPr>
      <w:r w:rsidDel="00000000" w:rsidR="00000000" w:rsidRPr="00000000">
        <w:rPr>
          <w:b w:val="1"/>
          <w:bCs w:val="1"/>
          <w:rtl w:val="0"/>
        </w:rPr>
        <w:t xml:space="preserve">Ct (Cycle Threshold) Value</w:t>
      </w:r>
    </w:p>
    <w:p w:rsidR="00000000" w:rsidDel="00000000" w:rsidP="00000000" w:rsidRDefault="00000000" w:rsidRPr="00000000" w14:paraId="000000A6">
      <w:pPr>
        <w:spacing w:line="276" w:lineRule="auto"/>
        <w:jc w:val="both"/>
        <w:rPr/>
      </w:pPr>
      <w:r w:rsidDel="00000000" w:rsidR="00000000" w:rsidRPr="00000000">
        <w:rPr>
          <w:rtl w:val="0"/>
        </w:rPr>
        <w:t xml:space="preserve"> </w:t>
      </w:r>
    </w:p>
    <w:p w:rsidR="00000000" w:rsidDel="00000000" w:rsidP="00000000" w:rsidRDefault="00000000" w:rsidRPr="00000000" w14:paraId="000000A7">
      <w:pPr>
        <w:spacing w:line="276" w:lineRule="auto"/>
        <w:ind w:firstLine="720"/>
        <w:jc w:val="both"/>
        <w:rPr/>
      </w:pPr>
      <w:r w:rsidDel="00000000" w:rsidR="00000000" w:rsidRPr="00000000">
        <w:rPr>
          <w:rtl w:val="0"/>
        </w:rPr>
        <w:t xml:space="preserve">The </w:t>
      </w:r>
      <w:r w:rsidDel="00000000" w:rsidR="00000000" w:rsidRPr="00000000">
        <w:rPr>
          <w:b w:val="1"/>
          <w:bCs w:val="1"/>
          <w:rtl w:val="0"/>
        </w:rPr>
        <w:t xml:space="preserve">Ct (Cycle threshold)</w:t>
      </w:r>
      <w:r w:rsidDel="00000000" w:rsidR="00000000" w:rsidRPr="00000000">
        <w:rPr>
          <w:rtl w:val="0"/>
        </w:rPr>
        <w:t xml:space="preserve"> value is the PCR cycle number at which the fluorescence signal exceeds a predefined threshold above the background. A </w:t>
      </w:r>
      <w:r w:rsidDel="00000000" w:rsidR="00000000" w:rsidRPr="00000000">
        <w:rPr>
          <w:b w:val="1"/>
          <w:bCs w:val="1"/>
          <w:rtl w:val="0"/>
        </w:rPr>
        <w:t xml:space="preserve">lower Ct value</w:t>
      </w:r>
      <w:r w:rsidDel="00000000" w:rsidR="00000000" w:rsidRPr="00000000">
        <w:rPr>
          <w:rtl w:val="0"/>
        </w:rPr>
        <w:t xml:space="preserve"> indicates that more target RNA was present in the sample (higher gene expression), whereas a </w:t>
      </w:r>
      <w:r w:rsidDel="00000000" w:rsidR="00000000" w:rsidRPr="00000000">
        <w:rPr>
          <w:b w:val="1"/>
          <w:bCs w:val="1"/>
          <w:rtl w:val="0"/>
        </w:rPr>
        <w:t xml:space="preserve">higher Ct value</w:t>
      </w:r>
      <w:r w:rsidDel="00000000" w:rsidR="00000000" w:rsidRPr="00000000">
        <w:rPr>
          <w:rtl w:val="0"/>
        </w:rPr>
        <w:t xml:space="preserve"> indicates lower gene expression.</w:t>
      </w:r>
    </w:p>
    <w:p w:rsidR="00000000" w:rsidDel="00000000" w:rsidP="00000000" w:rsidRDefault="00000000" w:rsidRPr="00000000" w14:paraId="000000A8">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A9">
      <w:pPr>
        <w:spacing w:line="276" w:lineRule="auto"/>
        <w:ind w:firstLine="720"/>
        <w:jc w:val="both"/>
        <w:rPr/>
      </w:pPr>
      <w:r w:rsidDel="00000000" w:rsidR="00000000" w:rsidRPr="00000000">
        <w:rPr/>
        <w:drawing>
          <wp:inline distB="114300" distT="114300" distL="114300" distR="114300">
            <wp:extent cx="1854200" cy="215900"/>
            <wp:effectExtent b="0" l="0" r="0" t="0"/>
            <wp:docPr id="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54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AB">
      <w:pPr>
        <w:spacing w:line="276" w:lineRule="auto"/>
        <w:ind w:firstLine="720"/>
        <w:jc w:val="both"/>
        <w:rPr/>
      </w:pPr>
      <w:r w:rsidDel="00000000" w:rsidR="00000000" w:rsidRPr="00000000">
        <w:rPr/>
        <w:drawing>
          <wp:inline distB="114300" distT="114300" distL="114300" distR="114300">
            <wp:extent cx="2159000" cy="19050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159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0AD">
      <w:pPr>
        <w:spacing w:line="276" w:lineRule="auto"/>
        <w:ind w:firstLine="720"/>
        <w:jc w:val="both"/>
        <w:rPr/>
      </w:pPr>
      <w:r w:rsidDel="00000000" w:rsidR="00000000" w:rsidRPr="00000000">
        <w:rPr/>
        <w:drawing>
          <wp:inline distB="114300" distT="114300" distL="114300" distR="114300">
            <wp:extent cx="1397000" cy="2032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3970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76" w:lineRule="auto"/>
        <w:jc w:val="both"/>
        <w:rPr/>
      </w:pPr>
      <w:r w:rsidDel="00000000" w:rsidR="00000000" w:rsidRPr="00000000">
        <w:rPr>
          <w:rtl w:val="0"/>
        </w:rPr>
        <w:t xml:space="preserve"> </w:t>
      </w:r>
    </w:p>
    <w:p w:rsidR="00000000" w:rsidDel="00000000" w:rsidP="00000000" w:rsidRDefault="00000000" w:rsidRPr="00000000" w14:paraId="000000AF">
      <w:pPr>
        <w:spacing w:line="276" w:lineRule="auto"/>
        <w:jc w:val="both"/>
        <w:rPr/>
      </w:pPr>
      <w:r w:rsidDel="00000000" w:rsidR="00000000" w:rsidRPr="00000000">
        <w:rPr>
          <w:rtl w:val="0"/>
        </w:rPr>
        <w:t xml:space="preserve"> </w:t>
      </w:r>
    </w:p>
    <w:p w:rsidR="00000000" w:rsidDel="00000000" w:rsidP="00000000" w:rsidRDefault="00000000" w:rsidRPr="00000000" w14:paraId="000000B0">
      <w:pPr>
        <w:spacing w:line="276" w:lineRule="auto"/>
        <w:jc w:val="both"/>
        <w:rPr/>
      </w:pPr>
      <w:r w:rsidDel="00000000" w:rsidR="00000000" w:rsidRPr="00000000">
        <w:rPr>
          <w:rtl w:val="0"/>
        </w:rPr>
        <w:t xml:space="preserve"> </w:t>
      </w:r>
    </w:p>
    <w:p w:rsidR="00000000" w:rsidDel="00000000" w:rsidP="00000000" w:rsidRDefault="00000000" w:rsidRPr="00000000" w14:paraId="000000B1">
      <w:pPr>
        <w:spacing w:line="276" w:lineRule="auto"/>
        <w:jc w:val="both"/>
        <w:rPr/>
      </w:pPr>
      <w:r w:rsidDel="00000000" w:rsidR="00000000" w:rsidRPr="00000000">
        <w:rPr>
          <w:rtl w:val="0"/>
        </w:rPr>
        <w:t xml:space="preserve"> </w:t>
      </w:r>
    </w:p>
    <w:p w:rsidR="00000000" w:rsidDel="00000000" w:rsidP="00000000" w:rsidRDefault="00000000" w:rsidRPr="00000000" w14:paraId="000000B2">
      <w:pPr>
        <w:spacing w:line="276" w:lineRule="auto"/>
        <w:jc w:val="both"/>
        <w:rPr/>
      </w:pP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B3">
      <w:pPr>
        <w:spacing w:line="276" w:lineRule="auto"/>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Sample</w:t>
            </w:r>
          </w:p>
        </w:tc>
        <w:tc>
          <w:tcPr>
            <w:tcMar>
              <w:top w:w="-144.0" w:type="dxa"/>
              <w:left w:w="-144.0" w:type="dxa"/>
              <w:bottom w:w="-144.0" w:type="dxa"/>
              <w:right w:w="-144.0" w:type="dxa"/>
            </w:tcMar>
            <w:vAlign w:val="top"/>
          </w:tcPr>
          <w:p w:rsidR="00000000" w:rsidDel="00000000" w:rsidP="00000000" w:rsidRDefault="00000000" w:rsidRPr="00000000" w14:paraId="000000B5">
            <w:pPr>
              <w:widowControl w:val="0"/>
              <w:spacing w:line="276" w:lineRule="auto"/>
              <w:ind w:left="0" w:firstLine="0"/>
              <w:jc w:val="center"/>
              <w:rPr>
                <w:b w:val="1"/>
                <w:bCs w:val="1"/>
              </w:rPr>
            </w:pPr>
            <w:r w:rsidDel="00000000" w:rsidR="00000000" w:rsidRPr="00000000">
              <w:rPr>
                <w:b w:val="1"/>
                <w:bCs w:val="1"/>
                <w:rtl w:val="0"/>
              </w:rPr>
              <w:t xml:space="preserve">PPO1 (Target) Ct</w:t>
            </w:r>
          </w:p>
        </w:tc>
        <w:tc>
          <w:tcPr>
            <w:tcMar>
              <w:top w:w="-144.0" w:type="dxa"/>
              <w:left w:w="-144.0" w:type="dxa"/>
              <w:bottom w:w="-144.0" w:type="dxa"/>
              <w:right w:w="-144.0" w:type="dxa"/>
            </w:tcMar>
            <w:vAlign w:val="top"/>
          </w:tcPr>
          <w:p w:rsidR="00000000" w:rsidDel="00000000" w:rsidP="00000000" w:rsidRDefault="00000000" w:rsidRPr="00000000" w14:paraId="000000B6">
            <w:pPr>
              <w:widowControl w:val="0"/>
              <w:spacing w:line="276" w:lineRule="auto"/>
              <w:ind w:left="0" w:firstLine="0"/>
              <w:jc w:val="center"/>
              <w:rPr>
                <w:b w:val="1"/>
                <w:bCs w:val="1"/>
              </w:rPr>
            </w:pPr>
            <w:r w:rsidDel="00000000" w:rsidR="00000000" w:rsidRPr="00000000">
              <w:rPr>
                <w:b w:val="1"/>
                <w:bCs w:val="1"/>
                <w:rtl w:val="0"/>
              </w:rPr>
              <w:t xml:space="preserve">Actin (Reference) Ct</w:t>
            </w:r>
          </w:p>
        </w:tc>
        <w:tc>
          <w:tcPr>
            <w:tcMar>
              <w:top w:w="-144.0" w:type="dxa"/>
              <w:left w:w="-144.0" w:type="dxa"/>
              <w:bottom w:w="-144.0" w:type="dxa"/>
              <w:right w:w="-144.0" w:type="dxa"/>
            </w:tcMar>
            <w:vAlign w:val="top"/>
          </w:tcPr>
          <w:p w:rsidR="00000000" w:rsidDel="00000000" w:rsidP="00000000" w:rsidRDefault="00000000" w:rsidRPr="00000000" w14:paraId="000000B7">
            <w:pPr>
              <w:widowControl w:val="0"/>
              <w:spacing w:line="276" w:lineRule="auto"/>
              <w:ind w:firstLine="720"/>
              <w:jc w:val="center"/>
              <w:rPr>
                <w:b w:val="1"/>
                <w:bCs w:val="1"/>
              </w:rPr>
            </w:pPr>
            <w:r w:rsidDel="00000000" w:rsidR="00000000" w:rsidRPr="00000000">
              <w:rPr>
                <w:b w:val="1"/>
                <w:bCs w:val="1"/>
                <w:rtl w:val="0"/>
              </w:rPr>
              <w:t xml:space="preserve">ΔCt</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w:t>
            </w:r>
          </w:p>
        </w:tc>
        <w:tc>
          <w:tcPr>
            <w:tcMar>
              <w:top w:w="-144.0" w:type="dxa"/>
              <w:left w:w="-144.0" w:type="dxa"/>
              <w:bottom w:w="-144.0" w:type="dxa"/>
              <w:right w:w="-144.0" w:type="dxa"/>
            </w:tcMar>
            <w:vAlign w:val="top"/>
          </w:tcPr>
          <w:p w:rsidR="00000000" w:rsidDel="00000000" w:rsidP="00000000" w:rsidRDefault="00000000" w:rsidRPr="00000000" w14:paraId="000000B9">
            <w:pPr>
              <w:widowControl w:val="0"/>
              <w:spacing w:line="276" w:lineRule="auto"/>
              <w:ind w:firstLine="720"/>
              <w:jc w:val="center"/>
              <w:rPr/>
            </w:pPr>
            <w:r w:rsidDel="00000000" w:rsidR="00000000" w:rsidRPr="00000000">
              <w:rPr>
                <w:rtl w:val="0"/>
              </w:rPr>
              <w:t xml:space="preserve">24</w:t>
            </w:r>
          </w:p>
        </w:tc>
        <w:tc>
          <w:tcPr>
            <w:tcMar>
              <w:top w:w="-144.0" w:type="dxa"/>
              <w:left w:w="-144.0" w:type="dxa"/>
              <w:bottom w:w="-144.0" w:type="dxa"/>
              <w:right w:w="-144.0" w:type="dxa"/>
            </w:tcMar>
            <w:vAlign w:val="top"/>
          </w:tcPr>
          <w:p w:rsidR="00000000" w:rsidDel="00000000" w:rsidP="00000000" w:rsidRDefault="00000000" w:rsidRPr="00000000" w14:paraId="000000BA">
            <w:pPr>
              <w:widowControl w:val="0"/>
              <w:spacing w:line="276" w:lineRule="auto"/>
              <w:ind w:firstLine="720"/>
              <w:jc w:val="center"/>
              <w:rPr/>
            </w:pPr>
            <w:r w:rsidDel="00000000" w:rsidR="00000000" w:rsidRPr="00000000">
              <w:rPr>
                <w:rtl w:val="0"/>
              </w:rPr>
              <w:t xml:space="preserve">20</w:t>
            </w:r>
          </w:p>
        </w:tc>
        <w:tc>
          <w:tcPr>
            <w:tcMar>
              <w:top w:w="-144.0" w:type="dxa"/>
              <w:left w:w="-144.0" w:type="dxa"/>
              <w:bottom w:w="-144.0" w:type="dxa"/>
              <w:right w:w="-144.0" w:type="dxa"/>
            </w:tcMar>
            <w:vAlign w:val="top"/>
          </w:tcPr>
          <w:p w:rsidR="00000000" w:rsidDel="00000000" w:rsidP="00000000" w:rsidRDefault="00000000" w:rsidRPr="00000000" w14:paraId="000000BB">
            <w:pPr>
              <w:widowControl w:val="0"/>
              <w:spacing w:line="276" w:lineRule="auto"/>
              <w:ind w:firstLine="720"/>
              <w:jc w:val="center"/>
              <w:rPr/>
            </w:pPr>
            <w:r w:rsidDel="00000000" w:rsidR="00000000" w:rsidRPr="00000000">
              <w:rPr>
                <w:rFonts w:ascii="Arial Unicode MS" w:cs="Arial Unicode MS" w:eastAsia="Arial Unicode MS" w:hAnsi="Arial Unicode MS"/>
                <w:rtl w:val="0"/>
              </w:rPr>
              <w:t xml:space="preserve">24 − 20 = 4</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Treatment</w:t>
            </w:r>
          </w:p>
        </w:tc>
        <w:tc>
          <w:tcPr>
            <w:tcMar>
              <w:top w:w="-144.0" w:type="dxa"/>
              <w:left w:w="-144.0" w:type="dxa"/>
              <w:bottom w:w="-144.0" w:type="dxa"/>
              <w:right w:w="-144.0" w:type="dxa"/>
            </w:tcMar>
            <w:vAlign w:val="top"/>
          </w:tcPr>
          <w:p w:rsidR="00000000" w:rsidDel="00000000" w:rsidP="00000000" w:rsidRDefault="00000000" w:rsidRPr="00000000" w14:paraId="000000BD">
            <w:pPr>
              <w:widowControl w:val="0"/>
              <w:spacing w:line="276" w:lineRule="auto"/>
              <w:ind w:firstLine="720"/>
              <w:jc w:val="center"/>
              <w:rPr/>
            </w:pPr>
            <w:r w:rsidDel="00000000" w:rsidR="00000000" w:rsidRPr="00000000">
              <w:rPr>
                <w:rtl w:val="0"/>
              </w:rPr>
              <w:t xml:space="preserve">22</w:t>
            </w:r>
          </w:p>
        </w:tc>
        <w:tc>
          <w:tcPr>
            <w:tcMar>
              <w:top w:w="-144.0" w:type="dxa"/>
              <w:left w:w="-144.0" w:type="dxa"/>
              <w:bottom w:w="-144.0" w:type="dxa"/>
              <w:right w:w="-144.0" w:type="dxa"/>
            </w:tcMar>
            <w:vAlign w:val="top"/>
          </w:tcPr>
          <w:p w:rsidR="00000000" w:rsidDel="00000000" w:rsidP="00000000" w:rsidRDefault="00000000" w:rsidRPr="00000000" w14:paraId="000000BE">
            <w:pPr>
              <w:widowControl w:val="0"/>
              <w:spacing w:line="276" w:lineRule="auto"/>
              <w:ind w:firstLine="720"/>
              <w:jc w:val="center"/>
              <w:rPr/>
            </w:pPr>
            <w:r w:rsidDel="00000000" w:rsidR="00000000" w:rsidRPr="00000000">
              <w:rPr>
                <w:rtl w:val="0"/>
              </w:rPr>
              <w:t xml:space="preserve">20</w:t>
            </w:r>
          </w:p>
        </w:tc>
        <w:tc>
          <w:tcPr>
            <w:tcMar>
              <w:top w:w="-144.0" w:type="dxa"/>
              <w:left w:w="-144.0" w:type="dxa"/>
              <w:bottom w:w="-144.0" w:type="dxa"/>
              <w:right w:w="-144.0" w:type="dxa"/>
            </w:tcMar>
            <w:vAlign w:val="top"/>
          </w:tcPr>
          <w:p w:rsidR="00000000" w:rsidDel="00000000" w:rsidP="00000000" w:rsidRDefault="00000000" w:rsidRPr="00000000" w14:paraId="000000BF">
            <w:pPr>
              <w:widowControl w:val="0"/>
              <w:spacing w:line="276" w:lineRule="auto"/>
              <w:ind w:firstLine="720"/>
              <w:jc w:val="center"/>
              <w:rPr/>
            </w:pPr>
            <w:r w:rsidDel="00000000" w:rsidR="00000000" w:rsidRPr="00000000">
              <w:rPr>
                <w:rFonts w:ascii="Arial Unicode MS" w:cs="Arial Unicode MS" w:eastAsia="Arial Unicode MS" w:hAnsi="Arial Unicode MS"/>
                <w:rtl w:val="0"/>
              </w:rPr>
              <w:t xml:space="preserve">22 − 20 = 2</w:t>
            </w:r>
          </w:p>
        </w:tc>
      </w:tr>
    </w:tbl>
    <w:p w:rsidR="00000000" w:rsidDel="00000000" w:rsidP="00000000" w:rsidRDefault="00000000" w:rsidRPr="00000000" w14:paraId="000000C0">
      <w:pPr>
        <w:spacing w:line="276" w:lineRule="auto"/>
        <w:jc w:val="both"/>
        <w:rPr/>
      </w:pPr>
      <w:r w:rsidDel="00000000" w:rsidR="00000000" w:rsidRPr="00000000">
        <w:rPr>
          <w:rtl w:val="0"/>
        </w:rPr>
      </w:r>
    </w:p>
    <w:p w:rsidR="00000000" w:rsidDel="00000000" w:rsidP="00000000" w:rsidRDefault="00000000" w:rsidRPr="00000000" w14:paraId="000000C1">
      <w:pPr>
        <w:spacing w:line="276" w:lineRule="auto"/>
        <w:jc w:val="both"/>
        <w:rPr/>
      </w:pPr>
      <w:r w:rsidDel="00000000" w:rsidR="00000000" w:rsidRPr="00000000">
        <w:rPr/>
        <w:drawing>
          <wp:inline distB="114300" distT="114300" distL="114300" distR="114300">
            <wp:extent cx="1701800" cy="20320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7018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jc w:val="both"/>
        <w:rPr/>
      </w:pPr>
      <w:r w:rsidDel="00000000" w:rsidR="00000000" w:rsidRPr="00000000">
        <w:rPr>
          <w:rtl w:val="0"/>
        </w:rPr>
        <w:t xml:space="preserve"> </w:t>
      </w:r>
      <w:r w:rsidDel="00000000" w:rsidR="00000000" w:rsidRPr="00000000">
        <w:rPr>
          <w:rtl w:val="0"/>
        </w:rPr>
        <w:t xml:space="preserve">Interpretation: The PPO gene is expressed 4-fold higher in the treatment than in the control.</w:t>
      </w:r>
    </w:p>
    <w:p w:rsidR="00000000" w:rsidDel="00000000" w:rsidP="00000000" w:rsidRDefault="00000000" w:rsidRPr="00000000" w14:paraId="000000C3">
      <w:pPr>
        <w:spacing w:line="276" w:lineRule="auto"/>
        <w:jc w:val="both"/>
        <w:rPr/>
      </w:pPr>
      <w:r w:rsidDel="00000000" w:rsidR="00000000" w:rsidRPr="00000000">
        <w:rPr>
          <w:rtl w:val="0"/>
        </w:rPr>
        <w:t xml:space="preserve"> </w:t>
      </w:r>
    </w:p>
    <w:p w:rsidR="00000000" w:rsidDel="00000000" w:rsidP="00000000" w:rsidRDefault="00000000" w:rsidRPr="00000000" w14:paraId="000000C4">
      <w:pPr>
        <w:spacing w:line="276" w:lineRule="auto"/>
        <w:jc w:val="both"/>
        <w:rPr/>
      </w:pPr>
      <w:r w:rsidDel="00000000" w:rsidR="00000000" w:rsidRPr="00000000">
        <w:rPr>
          <w:rtl w:val="0"/>
        </w:rPr>
        <w:t xml:space="preserve"> </w:t>
      </w:r>
    </w:p>
    <w:p w:rsidR="00000000" w:rsidDel="00000000" w:rsidP="00000000" w:rsidRDefault="00000000" w:rsidRPr="00000000" w14:paraId="000000C5">
      <w:pPr>
        <w:spacing w:after="160" w:line="276" w:lineRule="auto"/>
        <w:rPr>
          <w:b w:val="1"/>
          <w:bCs w:val="1"/>
        </w:rPr>
      </w:pPr>
      <w:r w:rsidDel="00000000" w:rsidR="00000000" w:rsidRPr="00000000">
        <w:rPr>
          <w:b w:val="1"/>
          <w:bCs w:val="1"/>
          <w:rtl w:val="0"/>
        </w:rPr>
        <w:t xml:space="preserve">Interpretation of qRT-PCR Results</w:t>
      </w:r>
    </w:p>
    <w:p w:rsidR="00000000" w:rsidDel="00000000" w:rsidP="00000000" w:rsidRDefault="00000000" w:rsidRPr="00000000" w14:paraId="000000C6">
      <w:pPr>
        <w:spacing w:after="160" w:line="276" w:lineRule="auto"/>
        <w:ind w:firstLine="720"/>
        <w:jc w:val="both"/>
        <w:rPr/>
      </w:pPr>
      <w:r w:rsidDel="00000000" w:rsidR="00000000" w:rsidRPr="00000000">
        <w:rPr>
          <w:rtl w:val="0"/>
        </w:rPr>
        <w:t xml:space="preserve">The qRT-PCR results are commonly presented as </w:t>
      </w:r>
      <w:r w:rsidDel="00000000" w:rsidR="00000000" w:rsidRPr="00000000">
        <w:rPr>
          <w:b w:val="1"/>
          <w:bCs w:val="1"/>
          <w:rtl w:val="0"/>
        </w:rPr>
        <w:t xml:space="preserve">relative fold change (</w:t>
      </w:r>
      <w:r w:rsidDel="00000000" w:rsidR="00000000" w:rsidRPr="00000000">
        <w:rPr>
          <w:b w:val="1"/>
          <w:bCs w:val="1"/>
        </w:rPr>
        <w:drawing>
          <wp:inline distB="114300" distT="114300" distL="114300" distR="114300">
            <wp:extent cx="381000" cy="2032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81000" cy="2032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with error bars representing biological replicates. A fold change greater than 1 indicates gene upregulation, whereas a value less than 1 indicates downregulation relative to the control. When qRT-PCR expression patterns agree with RNA-seq results, they provide independent validation of the identified differentially expressed genes.</w:t>
      </w:r>
    </w:p>
    <w:p w:rsidR="00000000" w:rsidDel="00000000" w:rsidP="00000000" w:rsidRDefault="00000000" w:rsidRPr="00000000" w14:paraId="000000C7">
      <w:pPr>
        <w:spacing w:after="160" w:line="276" w:lineRule="auto"/>
        <w:ind w:firstLine="720"/>
        <w:jc w:val="both"/>
        <w:rPr/>
      </w:pPr>
      <w:r w:rsidDel="00000000" w:rsidR="00000000" w:rsidRPr="00000000">
        <w:rPr>
          <w:rtl w:val="0"/>
        </w:rPr>
      </w:r>
    </w:p>
    <w:p w:rsidR="00000000" w:rsidDel="00000000" w:rsidP="00000000" w:rsidRDefault="00000000" w:rsidRPr="00000000" w14:paraId="000000C8">
      <w:pPr>
        <w:spacing w:after="160" w:line="276" w:lineRule="auto"/>
        <w:ind w:left="0" w:firstLine="0"/>
        <w:jc w:val="both"/>
        <w:rPr/>
      </w:pPr>
      <w:r w:rsidDel="00000000" w:rsidR="00000000" w:rsidRPr="00000000">
        <w:rPr>
          <w:rtl w:val="0"/>
        </w:rPr>
        <w:t xml:space="preserve">Capstone Integration of Module 8:</w:t>
      </w:r>
    </w:p>
    <w:p w:rsidR="00000000" w:rsidDel="00000000" w:rsidP="00000000" w:rsidRDefault="00000000" w:rsidRPr="00000000" w14:paraId="000000C9">
      <w:pPr>
        <w:spacing w:after="160" w:line="276" w:lineRule="auto"/>
        <w:ind w:left="0" w:firstLine="0"/>
        <w:jc w:val="both"/>
        <w:rPr/>
      </w:pPr>
      <w:hyperlink r:id="rId27">
        <w:r w:rsidDel="00000000" w:rsidR="00000000" w:rsidRPr="00000000">
          <w:rPr>
            <w:color w:val="1155cc"/>
            <w:u w:val="single"/>
            <w:rtl w:val="0"/>
          </w:rPr>
          <w:t xml:space="preserve">https://docs.google.com/document/d/1Z3aMmY-mb6MpNnPAPvEdAEpTQncf19Heo4i0d4os28I/edit?tab=t.0</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21.png"/><Relationship Id="rId24"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5.png"/><Relationship Id="rId25" Type="http://schemas.openxmlformats.org/officeDocument/2006/relationships/image" Target="media/image2.png"/><Relationship Id="rId27" Type="http://schemas.openxmlformats.org/officeDocument/2006/relationships/hyperlink" Target="https://docs.google.com/document/d/1Z3aMmY-mb6MpNnPAPvEdAEpTQncf19Heo4i0d4os28I/edit?tab=t.0" TargetMode="Externa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jpg"/><Relationship Id="rId8" Type="http://schemas.openxmlformats.org/officeDocument/2006/relationships/image" Target="media/image11.jpg"/><Relationship Id="rId11" Type="http://schemas.openxmlformats.org/officeDocument/2006/relationships/image" Target="media/image20.png"/><Relationship Id="rId10" Type="http://schemas.openxmlformats.org/officeDocument/2006/relationships/image" Target="media/image19.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3.jp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