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9791F"/>
          <w:sz w:val="22"/>
          <w:szCs w:val="22"/>
        </w:rPr>
        <w:t xml:space="preserve">NEXAMART CUSTOMER PROFITABILITY &amp; REVENUE INTELLIGENCE</w:t>
      </w:r>
    </w:p>
    <w:p>
      <w:pPr>
        <w:spacing w:after="200"/>
      </w:pPr>
      <w:r>
        <w:rPr>
          <w:b/>
          <w:bCs/>
          <w:color w:val="1E2761"/>
          <w:sz w:val="40"/>
          <w:szCs w:val="40"/>
        </w:rPr>
        <w:t xml:space="preserve">Presentation Companion: Content Guide, Scripts &amp; Interview Q&amp;A</w:t>
      </w:r>
    </w:p>
    <w:p>
      <w:pPr>
        <w:spacing w:after="400"/>
      </w:pPr>
      <w:r>
        <w:rPr>
          <w:i/>
          <w:iCs/>
          <w:color w:val="44506B"/>
        </w:rPr>
        <w:t xml:space="preserve">Supporting document for the 14-slide PowerPoint deck. Use this alongside the deck when rehearsing or when a reviewer wants the underlying reasoning in writing.</w:t>
      </w:r>
    </w:p>
    <w:p>
      <w:pPr>
        <w:pStyle w:val="Heading1"/>
        <w:spacing w:after="160" w:before="320"/>
      </w:pPr>
      <w:r>
        <w:t xml:space="preserve">1. Slide-by-Slide Content &amp; Visual Recommendations</w:t>
      </w:r>
    </w:p>
    <w:p>
      <w:pPr>
        <w:spacing w:after="120" w:line="276"/>
      </w:pPr>
      <w:r>
        <w:t xml:space="preserve">Full speaker notes are embedded in the PowerPoint file itself (View → Notes). This table is a quick-reference map of what each slide argues and why that visual was chosen.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200"/>
      </w:tblGrid>
      <w:tr>
        <w:trPr>
          <w:tblHeader/>
        </w:trPr>
        <w:tc>
          <w:tcPr>
            <w:tcW w:type="dxa" w:w="900"/>
            <w:shd w:fill="1E2761" w:val="clear"/>
            <w:tcMar>
              <w:top w:type="dxa" w:w="100"/>
              <w:left w:type="dxa" w:w="120"/>
              <w:bottom w:type="dxa" w:w="100"/>
              <w:right w:type="dxa" w:w="120"/>
            </w:tcMar>
          </w:tcPr>
          <w:p>
            <w:r>
              <w:rPr>
                <w:b/>
                <w:bCs/>
                <w:color w:val="FFFFFF"/>
                <w:sz w:val="20"/>
                <w:szCs w:val="20"/>
              </w:rPr>
              <w:t xml:space="preserve">Slide</w:t>
            </w:r>
          </w:p>
        </w:tc>
        <w:tc>
          <w:tcPr>
            <w:tcW w:type="dxa" w:w="3600"/>
            <w:shd w:fill="1E2761" w:val="clear"/>
            <w:tcMar>
              <w:top w:type="dxa" w:w="100"/>
              <w:left w:type="dxa" w:w="120"/>
              <w:bottom w:type="dxa" w:w="100"/>
              <w:right w:type="dxa" w:w="120"/>
            </w:tcMar>
          </w:tcPr>
          <w:p>
            <w:r>
              <w:rPr>
                <w:b/>
                <w:bCs/>
                <w:color w:val="FFFFFF"/>
                <w:sz w:val="20"/>
                <w:szCs w:val="20"/>
              </w:rPr>
              <w:t xml:space="preserve">Content Focus</w:t>
            </w:r>
          </w:p>
        </w:tc>
        <w:tc>
          <w:tcPr>
            <w:tcW w:type="dxa" w:w="4200"/>
            <w:shd w:fill="1E2761" w:val="clear"/>
            <w:tcMar>
              <w:top w:type="dxa" w:w="100"/>
              <w:left w:type="dxa" w:w="120"/>
              <w:bottom w:type="dxa" w:w="100"/>
              <w:right w:type="dxa" w:w="120"/>
            </w:tcMar>
          </w:tcPr>
          <w:p>
            <w:r>
              <w:rPr>
                <w:b/>
                <w:bCs/>
                <w:color w:val="FFFFFF"/>
                <w:sz w:val="20"/>
                <w:szCs w:val="20"/>
              </w:rPr>
              <w:t xml:space="preserve">Recommended Visual</w:t>
            </w:r>
          </w:p>
        </w:tc>
      </w:tr>
      <w:tr>
        <w:tc>
          <w:tcPr>
            <w:tcW w:type="dxa" w:w="900"/>
            <w:tcMar>
              <w:top w:type="dxa" w:w="100"/>
              <w:left w:type="dxa" w:w="120"/>
              <w:bottom w:type="dxa" w:w="100"/>
              <w:right w:type="dxa" w:w="120"/>
            </w:tcMar>
          </w:tcPr>
          <w:p>
            <w:r>
              <w:rPr>
                <w:b w:val="false"/>
                <w:bCs w:val="false"/>
                <w:color w:val="1A1A1A"/>
                <w:sz w:val="20"/>
                <w:szCs w:val="20"/>
              </w:rPr>
              <w:t xml:space="preserve">1</w:t>
            </w:r>
          </w:p>
        </w:tc>
        <w:tc>
          <w:tcPr>
            <w:tcW w:type="dxa" w:w="3600"/>
            <w:tcMar>
              <w:top w:type="dxa" w:w="100"/>
              <w:left w:type="dxa" w:w="120"/>
              <w:bottom w:type="dxa" w:w="100"/>
              <w:right w:type="dxa" w:w="120"/>
            </w:tcMar>
          </w:tcPr>
          <w:p>
            <w:r>
              <w:rPr>
                <w:b w:val="false"/>
                <w:bCs w:val="false"/>
                <w:color w:val="1A1A1A"/>
                <w:sz w:val="20"/>
                <w:szCs w:val="20"/>
              </w:rPr>
              <w:t xml:space="preserve">Title: project name, subtitle, tool badges (Python, SQL, Power BI, Excel).</w:t>
            </w:r>
          </w:p>
        </w:tc>
        <w:tc>
          <w:tcPr>
            <w:tcW w:type="dxa" w:w="4200"/>
            <w:tcMar>
              <w:top w:type="dxa" w:w="100"/>
              <w:left w:type="dxa" w:w="120"/>
              <w:bottom w:type="dxa" w:w="100"/>
              <w:right w:type="dxa" w:w="120"/>
            </w:tcMar>
          </w:tcPr>
          <w:p>
            <w:r>
              <w:rPr>
                <w:b w:val="false"/>
                <w:bCs w:val="false"/>
                <w:color w:val="1A1A1A"/>
                <w:sz w:val="20"/>
                <w:szCs w:val="20"/>
              </w:rPr>
              <w:t xml:space="preserve">Clean dark title slide, no chart. Bold typography carries the slide.</w:t>
            </w:r>
          </w:p>
        </w:tc>
      </w:tr>
      <w:tr>
        <w:tc>
          <w:tcPr>
            <w:tcW w:type="dxa" w:w="900"/>
            <w:shd w:fill="EEF3FC" w:val="clear"/>
            <w:tcMar>
              <w:top w:type="dxa" w:w="100"/>
              <w:left w:type="dxa" w:w="120"/>
              <w:bottom w:type="dxa" w:w="100"/>
              <w:right w:type="dxa" w:w="120"/>
            </w:tcMar>
          </w:tcPr>
          <w:p>
            <w:r>
              <w:rPr>
                <w:b w:val="false"/>
                <w:bCs w:val="false"/>
                <w:color w:val="1A1A1A"/>
                <w:sz w:val="20"/>
                <w:szCs w:val="20"/>
              </w:rPr>
              <w:t xml:space="preserve">2</w:t>
            </w:r>
          </w:p>
        </w:tc>
        <w:tc>
          <w:tcPr>
            <w:tcW w:type="dxa" w:w="3600"/>
            <w:shd w:fill="EEF3FC" w:val="clear"/>
            <w:tcMar>
              <w:top w:type="dxa" w:w="100"/>
              <w:left w:type="dxa" w:w="120"/>
              <w:bottom w:type="dxa" w:w="100"/>
              <w:right w:type="dxa" w:w="120"/>
            </w:tcMar>
          </w:tcPr>
          <w:p>
            <w:r>
              <w:rPr>
                <w:b w:val="false"/>
                <w:bCs w:val="false"/>
                <w:color w:val="1A1A1A"/>
                <w:sz w:val="20"/>
                <w:szCs w:val="20"/>
              </w:rPr>
              <w:t xml:space="preserve">Business context, central question, five guiding analytical questions, five analytical dimensions.</w:t>
            </w:r>
          </w:p>
        </w:tc>
        <w:tc>
          <w:tcPr>
            <w:tcW w:type="dxa" w:w="4200"/>
            <w:shd w:fill="EEF3FC" w:val="clear"/>
            <w:tcMar>
              <w:top w:type="dxa" w:w="100"/>
              <w:left w:type="dxa" w:w="120"/>
              <w:bottom w:type="dxa" w:w="100"/>
              <w:right w:type="dxa" w:w="120"/>
            </w:tcMar>
          </w:tcPr>
          <w:p>
            <w:r>
              <w:rPr>
                <w:b w:val="false"/>
                <w:bCs w:val="false"/>
                <w:color w:val="1A1A1A"/>
                <w:sz w:val="20"/>
                <w:szCs w:val="20"/>
              </w:rPr>
              <w:t xml:space="preserve">Callout quote box for the central question; a vertical flow of the six dimensions (Customer → ... → Profitability).</w:t>
            </w:r>
          </w:p>
        </w:tc>
      </w:tr>
      <w:tr>
        <w:tc>
          <w:tcPr>
            <w:tcW w:type="dxa" w:w="900"/>
            <w:tcMar>
              <w:top w:type="dxa" w:w="100"/>
              <w:left w:type="dxa" w:w="120"/>
              <w:bottom w:type="dxa" w:w="100"/>
              <w:right w:type="dxa" w:w="120"/>
            </w:tcMar>
          </w:tcPr>
          <w:p>
            <w:r>
              <w:rPr>
                <w:b w:val="false"/>
                <w:bCs w:val="false"/>
                <w:color w:val="1A1A1A"/>
                <w:sz w:val="20"/>
                <w:szCs w:val="20"/>
              </w:rPr>
              <w:t xml:space="preserve">3</w:t>
            </w:r>
          </w:p>
        </w:tc>
        <w:tc>
          <w:tcPr>
            <w:tcW w:type="dxa" w:w="3600"/>
            <w:tcMar>
              <w:top w:type="dxa" w:w="100"/>
              <w:left w:type="dxa" w:w="120"/>
              <w:bottom w:type="dxa" w:w="100"/>
              <w:right w:type="dxa" w:w="120"/>
            </w:tcMar>
          </w:tcPr>
          <w:p>
            <w:r>
              <w:rPr>
                <w:b w:val="false"/>
                <w:bCs w:val="false"/>
                <w:color w:val="1A1A1A"/>
                <w:sz w:val="20"/>
                <w:szCs w:val="20"/>
              </w:rPr>
              <w:t xml:space="preserve">Dataset scale (orders, customers, products, regions, channels, segments, time span).</w:t>
            </w:r>
          </w:p>
        </w:tc>
        <w:tc>
          <w:tcPr>
            <w:tcW w:type="dxa" w:w="4200"/>
            <w:tcMar>
              <w:top w:type="dxa" w:w="100"/>
              <w:left w:type="dxa" w:w="120"/>
              <w:bottom w:type="dxa" w:w="100"/>
              <w:right w:type="dxa" w:w="120"/>
            </w:tcMar>
          </w:tcPr>
          <w:p>
            <w:r>
              <w:rPr>
                <w:b w:val="false"/>
                <w:bCs w:val="false"/>
                <w:color w:val="1A1A1A"/>
                <w:sz w:val="20"/>
                <w:szCs w:val="20"/>
              </w:rPr>
              <w:t xml:space="preserve">Large KPI number cards in a grid, plus a horizontal dimension flow diagram.</w:t>
            </w:r>
          </w:p>
        </w:tc>
      </w:tr>
      <w:tr>
        <w:tc>
          <w:tcPr>
            <w:tcW w:type="dxa" w:w="900"/>
            <w:shd w:fill="EEF3FC" w:val="clear"/>
            <w:tcMar>
              <w:top w:type="dxa" w:w="100"/>
              <w:left w:type="dxa" w:w="120"/>
              <w:bottom w:type="dxa" w:w="100"/>
              <w:right w:type="dxa" w:w="120"/>
            </w:tcMar>
          </w:tcPr>
          <w:p>
            <w:r>
              <w:rPr>
                <w:b w:val="false"/>
                <w:bCs w:val="false"/>
                <w:color w:val="1A1A1A"/>
                <w:sz w:val="20"/>
                <w:szCs w:val="20"/>
              </w:rPr>
              <w:t xml:space="preserve">4</w:t>
            </w:r>
          </w:p>
        </w:tc>
        <w:tc>
          <w:tcPr>
            <w:tcW w:type="dxa" w:w="3600"/>
            <w:shd w:fill="EEF3FC" w:val="clear"/>
            <w:tcMar>
              <w:top w:type="dxa" w:w="100"/>
              <w:left w:type="dxa" w:w="120"/>
              <w:bottom w:type="dxa" w:w="100"/>
              <w:right w:type="dxa" w:w="120"/>
            </w:tcMar>
          </w:tcPr>
          <w:p>
            <w:r>
              <w:rPr>
                <w:b w:val="false"/>
                <w:bCs w:val="false"/>
                <w:color w:val="1A1A1A"/>
                <w:sz w:val="20"/>
                <w:szCs w:val="20"/>
              </w:rPr>
              <w:t xml:space="preserve">Five/six-stage analytical workflow: Python → Excel → SQL → Power BI → Insights → Recommendations.</w:t>
            </w:r>
          </w:p>
        </w:tc>
        <w:tc>
          <w:tcPr>
            <w:tcW w:type="dxa" w:w="4200"/>
            <w:shd w:fill="EEF3FC" w:val="clear"/>
            <w:tcMar>
              <w:top w:type="dxa" w:w="100"/>
              <w:left w:type="dxa" w:w="120"/>
              <w:bottom w:type="dxa" w:w="100"/>
              <w:right w:type="dxa" w:w="120"/>
            </w:tcMar>
          </w:tcPr>
          <w:p>
            <w:r>
              <w:rPr>
                <w:b w:val="false"/>
                <w:bCs w:val="false"/>
                <w:color w:val="1A1A1A"/>
                <w:sz w:val="20"/>
                <w:szCs w:val="20"/>
              </w:rPr>
              <w:t xml:space="preserve">Horizontal process diagram with arrows; short caption under each stage naming its contribution.</w:t>
            </w:r>
          </w:p>
        </w:tc>
      </w:tr>
      <w:tr>
        <w:tc>
          <w:tcPr>
            <w:tcW w:type="dxa" w:w="900"/>
            <w:tcMar>
              <w:top w:type="dxa" w:w="100"/>
              <w:left w:type="dxa" w:w="120"/>
              <w:bottom w:type="dxa" w:w="100"/>
              <w:right w:type="dxa" w:w="120"/>
            </w:tcMar>
          </w:tcPr>
          <w:p>
            <w:r>
              <w:rPr>
                <w:b w:val="false"/>
                <w:bCs w:val="false"/>
                <w:color w:val="1A1A1A"/>
                <w:sz w:val="20"/>
                <w:szCs w:val="20"/>
              </w:rPr>
              <w:t xml:space="preserve">5</w:t>
            </w:r>
          </w:p>
        </w:tc>
        <w:tc>
          <w:tcPr>
            <w:tcW w:type="dxa" w:w="3600"/>
            <w:tcMar>
              <w:top w:type="dxa" w:w="100"/>
              <w:left w:type="dxa" w:w="120"/>
              <w:bottom w:type="dxa" w:w="100"/>
              <w:right w:type="dxa" w:w="120"/>
            </w:tcMar>
          </w:tcPr>
          <w:p>
            <w:r>
              <w:rPr>
                <w:b w:val="false"/>
                <w:bCs w:val="false"/>
                <w:color w:val="1A1A1A"/>
                <w:sz w:val="20"/>
                <w:szCs w:val="20"/>
              </w:rPr>
              <w:t xml:space="preserve">Data model: fact table at order grain joined to six dimensions; five core metrics; grain note.</w:t>
            </w:r>
          </w:p>
        </w:tc>
        <w:tc>
          <w:tcPr>
            <w:tcW w:type="dxa" w:w="4200"/>
            <w:tcMar>
              <w:top w:type="dxa" w:w="100"/>
              <w:left w:type="dxa" w:w="120"/>
              <w:bottom w:type="dxa" w:w="100"/>
              <w:right w:type="dxa" w:w="120"/>
            </w:tcMar>
          </w:tcPr>
          <w:p>
            <w:r>
              <w:rPr>
                <w:b w:val="false"/>
                <w:bCs w:val="false"/>
                <w:color w:val="1A1A1A"/>
                <w:sz w:val="20"/>
                <w:szCs w:val="20"/>
              </w:rPr>
              <w:t xml:space="preserve">Star-schema diagram (fact table centre, dimensions radiating outward) plus a metrics list card.</w:t>
            </w:r>
          </w:p>
        </w:tc>
      </w:tr>
      <w:tr>
        <w:tc>
          <w:tcPr>
            <w:tcW w:type="dxa" w:w="900"/>
            <w:shd w:fill="EEF3FC" w:val="clear"/>
            <w:tcMar>
              <w:top w:type="dxa" w:w="100"/>
              <w:left w:type="dxa" w:w="120"/>
              <w:bottom w:type="dxa" w:w="100"/>
              <w:right w:type="dxa" w:w="120"/>
            </w:tcMar>
          </w:tcPr>
          <w:p>
            <w:r>
              <w:rPr>
                <w:b w:val="false"/>
                <w:bCs w:val="false"/>
                <w:color w:val="1A1A1A"/>
                <w:sz w:val="20"/>
                <w:szCs w:val="20"/>
              </w:rPr>
              <w:t xml:space="preserve">6</w:t>
            </w:r>
          </w:p>
        </w:tc>
        <w:tc>
          <w:tcPr>
            <w:tcW w:type="dxa" w:w="3600"/>
            <w:shd w:fill="EEF3FC" w:val="clear"/>
            <w:tcMar>
              <w:top w:type="dxa" w:w="100"/>
              <w:left w:type="dxa" w:w="120"/>
              <w:bottom w:type="dxa" w:w="100"/>
              <w:right w:type="dxa" w:w="120"/>
            </w:tcMar>
          </w:tcPr>
          <w:p>
            <w:r>
              <w:rPr>
                <w:b w:val="false"/>
                <w:bCs w:val="false"/>
                <w:color w:val="1A1A1A"/>
                <w:sz w:val="20"/>
                <w:szCs w:val="20"/>
              </w:rPr>
              <w:t xml:space="preserve">Executive KPIs: revenue, gross profit, margin, orders, customers, gross sales, discount.</w:t>
            </w:r>
          </w:p>
        </w:tc>
        <w:tc>
          <w:tcPr>
            <w:tcW w:type="dxa" w:w="4200"/>
            <w:shd w:fill="EEF3FC" w:val="clear"/>
            <w:tcMar>
              <w:top w:type="dxa" w:w="100"/>
              <w:left w:type="dxa" w:w="120"/>
              <w:bottom w:type="dxa" w:w="100"/>
              <w:right w:type="dxa" w:w="120"/>
            </w:tcMar>
          </w:tcPr>
          <w:p>
            <w:r>
              <w:rPr>
                <w:b w:val="false"/>
                <w:bCs w:val="false"/>
                <w:color w:val="1A1A1A"/>
                <w:sz w:val="20"/>
                <w:szCs w:val="20"/>
              </w:rPr>
              <w:t xml:space="preserve">KPI card grid + a Gross Sales → Discount → Revenue → Gross Profit flow strip.</w:t>
            </w:r>
          </w:p>
        </w:tc>
      </w:tr>
      <w:tr>
        <w:tc>
          <w:tcPr>
            <w:tcW w:type="dxa" w:w="900"/>
            <w:tcMar>
              <w:top w:type="dxa" w:w="100"/>
              <w:left w:type="dxa" w:w="120"/>
              <w:bottom w:type="dxa" w:w="100"/>
              <w:right w:type="dxa" w:w="120"/>
            </w:tcMar>
          </w:tcPr>
          <w:p>
            <w:r>
              <w:rPr>
                <w:b w:val="false"/>
                <w:bCs w:val="false"/>
                <w:color w:val="1A1A1A"/>
                <w:sz w:val="20"/>
                <w:szCs w:val="20"/>
              </w:rPr>
              <w:t xml:space="preserve">7</w:t>
            </w:r>
          </w:p>
        </w:tc>
        <w:tc>
          <w:tcPr>
            <w:tcW w:type="dxa" w:w="3600"/>
            <w:tcMar>
              <w:top w:type="dxa" w:w="100"/>
              <w:left w:type="dxa" w:w="120"/>
              <w:bottom w:type="dxa" w:w="100"/>
              <w:right w:type="dxa" w:w="120"/>
            </w:tcMar>
          </w:tcPr>
          <w:p>
            <w:r>
              <w:rPr>
                <w:b w:val="false"/>
                <w:bCs w:val="false"/>
                <w:color w:val="1A1A1A"/>
                <w:sz w:val="20"/>
                <w:szCs w:val="20"/>
              </w:rPr>
              <w:t xml:space="preserve">Top 5 customers by gross profit; segment margin comparison; value vs. efficiency distinction.</w:t>
            </w:r>
          </w:p>
        </w:tc>
        <w:tc>
          <w:tcPr>
            <w:tcW w:type="dxa" w:w="4200"/>
            <w:tcMar>
              <w:top w:type="dxa" w:w="100"/>
              <w:left w:type="dxa" w:w="120"/>
              <w:bottom w:type="dxa" w:w="100"/>
              <w:right w:type="dxa" w:w="120"/>
            </w:tcMar>
          </w:tcPr>
          <w:p>
            <w:r>
              <w:rPr>
                <w:b w:val="false"/>
                <w:bCs w:val="false"/>
                <w:color w:val="1A1A1A"/>
                <w:sz w:val="20"/>
                <w:szCs w:val="20"/>
              </w:rPr>
              <w:t xml:space="preserve">Horizontal bar chart (top customers) beside a column chart (segment margin).</w:t>
            </w:r>
          </w:p>
        </w:tc>
      </w:tr>
      <w:tr>
        <w:tc>
          <w:tcPr>
            <w:tcW w:type="dxa" w:w="900"/>
            <w:shd w:fill="EEF3FC" w:val="clear"/>
            <w:tcMar>
              <w:top w:type="dxa" w:w="100"/>
              <w:left w:type="dxa" w:w="120"/>
              <w:bottom w:type="dxa" w:w="100"/>
              <w:right w:type="dxa" w:w="120"/>
            </w:tcMar>
          </w:tcPr>
          <w:p>
            <w:r>
              <w:rPr>
                <w:b w:val="false"/>
                <w:bCs w:val="false"/>
                <w:color w:val="1A1A1A"/>
                <w:sz w:val="20"/>
                <w:szCs w:val="20"/>
              </w:rPr>
              <w:t xml:space="preserve">8</w:t>
            </w:r>
          </w:p>
        </w:tc>
        <w:tc>
          <w:tcPr>
            <w:tcW w:type="dxa" w:w="3600"/>
            <w:shd w:fill="EEF3FC" w:val="clear"/>
            <w:tcMar>
              <w:top w:type="dxa" w:w="100"/>
              <w:left w:type="dxa" w:w="120"/>
              <w:bottom w:type="dxa" w:w="100"/>
              <w:right w:type="dxa" w:w="120"/>
            </w:tcMar>
          </w:tcPr>
          <w:p>
            <w:r>
              <w:rPr>
                <w:b w:val="false"/>
                <w:bCs w:val="false"/>
                <w:color w:val="1A1A1A"/>
                <w:sz w:val="20"/>
                <w:szCs w:val="20"/>
              </w:rPr>
              <w:t xml:space="preserve">Top products by gross profit; category revenue/GP/margin comparison.</w:t>
            </w:r>
          </w:p>
        </w:tc>
        <w:tc>
          <w:tcPr>
            <w:tcW w:type="dxa" w:w="4200"/>
            <w:shd w:fill="EEF3FC" w:val="clear"/>
            <w:tcMar>
              <w:top w:type="dxa" w:w="100"/>
              <w:left w:type="dxa" w:w="120"/>
              <w:bottom w:type="dxa" w:w="100"/>
              <w:right w:type="dxa" w:w="120"/>
            </w:tcMar>
          </w:tcPr>
          <w:p>
            <w:r>
              <w:rPr>
                <w:b w:val="false"/>
                <w:bCs w:val="false"/>
                <w:color w:val="1A1A1A"/>
                <w:sz w:val="20"/>
                <w:szCs w:val="20"/>
              </w:rPr>
              <w:t xml:space="preserve">Horizontal grouped bar chart (category revenue vs. GP) beside a ranked product list.</w:t>
            </w:r>
          </w:p>
        </w:tc>
      </w:tr>
      <w:tr>
        <w:tc>
          <w:tcPr>
            <w:tcW w:type="dxa" w:w="900"/>
            <w:tcMar>
              <w:top w:type="dxa" w:w="100"/>
              <w:left w:type="dxa" w:w="120"/>
              <w:bottom w:type="dxa" w:w="100"/>
              <w:right w:type="dxa" w:w="120"/>
            </w:tcMar>
          </w:tcPr>
          <w:p>
            <w:r>
              <w:rPr>
                <w:b w:val="false"/>
                <w:bCs w:val="false"/>
                <w:color w:val="1A1A1A"/>
                <w:sz w:val="20"/>
                <w:szCs w:val="20"/>
              </w:rPr>
              <w:t xml:space="preserve">9</w:t>
            </w:r>
          </w:p>
        </w:tc>
        <w:tc>
          <w:tcPr>
            <w:tcW w:type="dxa" w:w="3600"/>
            <w:tcMar>
              <w:top w:type="dxa" w:w="100"/>
              <w:left w:type="dxa" w:w="120"/>
              <w:bottom w:type="dxa" w:w="100"/>
              <w:right w:type="dxa" w:w="120"/>
            </w:tcMar>
          </w:tcPr>
          <w:p>
            <w:r>
              <w:rPr>
                <w:b w:val="false"/>
                <w:bCs w:val="false"/>
                <w:color w:val="1A1A1A"/>
                <w:sz w:val="20"/>
                <w:szCs w:val="20"/>
              </w:rPr>
              <w:t xml:space="preserve">Regional revenue, gross profit, margin, orders; South vs. West story.</w:t>
            </w:r>
          </w:p>
        </w:tc>
        <w:tc>
          <w:tcPr>
            <w:tcW w:type="dxa" w:w="4200"/>
            <w:tcMar>
              <w:top w:type="dxa" w:w="100"/>
              <w:left w:type="dxa" w:w="120"/>
              <w:bottom w:type="dxa" w:w="100"/>
              <w:right w:type="dxa" w:w="120"/>
            </w:tcMar>
          </w:tcPr>
          <w:p>
            <w:r>
              <w:rPr>
                <w:b w:val="false"/>
                <w:bCs w:val="false"/>
                <w:color w:val="1A1A1A"/>
                <w:sz w:val="20"/>
                <w:szCs w:val="20"/>
              </w:rPr>
              <w:t xml:space="preserve">Data table (all four regions) beside a column chart highlighting West in the accent colour.</w:t>
            </w:r>
          </w:p>
        </w:tc>
      </w:tr>
      <w:tr>
        <w:tc>
          <w:tcPr>
            <w:tcW w:type="dxa" w:w="900"/>
            <w:shd w:fill="EEF3FC" w:val="clear"/>
            <w:tcMar>
              <w:top w:type="dxa" w:w="100"/>
              <w:left w:type="dxa" w:w="120"/>
              <w:bottom w:type="dxa" w:w="100"/>
              <w:right w:type="dxa" w:w="120"/>
            </w:tcMar>
          </w:tcPr>
          <w:p>
            <w:r>
              <w:rPr>
                <w:b w:val="false"/>
                <w:bCs w:val="false"/>
                <w:color w:val="1A1A1A"/>
                <w:sz w:val="20"/>
                <w:szCs w:val="20"/>
              </w:rPr>
              <w:t xml:space="preserve">10</w:t>
            </w:r>
          </w:p>
        </w:tc>
        <w:tc>
          <w:tcPr>
            <w:tcW w:type="dxa" w:w="3600"/>
            <w:shd w:fill="EEF3FC" w:val="clear"/>
            <w:tcMar>
              <w:top w:type="dxa" w:w="100"/>
              <w:left w:type="dxa" w:w="120"/>
              <w:bottom w:type="dxa" w:w="100"/>
              <w:right w:type="dxa" w:w="120"/>
            </w:tcMar>
          </w:tcPr>
          <w:p>
            <w:r>
              <w:rPr>
                <w:b w:val="false"/>
                <w:bCs w:val="false"/>
                <w:color w:val="1A1A1A"/>
                <w:sz w:val="20"/>
                <w:szCs w:val="20"/>
              </w:rPr>
              <w:t xml:space="preserve">Store vs. Online: revenue, GP, margin, orders; scale vs. efficiency framing.</w:t>
            </w:r>
          </w:p>
        </w:tc>
        <w:tc>
          <w:tcPr>
            <w:tcW w:type="dxa" w:w="4200"/>
            <w:shd w:fill="EEF3FC" w:val="clear"/>
            <w:tcMar>
              <w:top w:type="dxa" w:w="100"/>
              <w:left w:type="dxa" w:w="120"/>
              <w:bottom w:type="dxa" w:w="100"/>
              <w:right w:type="dxa" w:w="120"/>
            </w:tcMar>
          </w:tcPr>
          <w:p>
            <w:r>
              <w:rPr>
                <w:b w:val="false"/>
                <w:bCs w:val="false"/>
                <w:color w:val="1A1A1A"/>
                <w:sz w:val="20"/>
                <w:szCs w:val="20"/>
              </w:rPr>
              <w:t xml:space="preserve">Two side-by-side comparison cards, one per channel, with a shared insight strip beneath.</w:t>
            </w:r>
          </w:p>
        </w:tc>
      </w:tr>
      <w:tr>
        <w:tc>
          <w:tcPr>
            <w:tcW w:type="dxa" w:w="900"/>
            <w:tcMar>
              <w:top w:type="dxa" w:w="100"/>
              <w:left w:type="dxa" w:w="120"/>
              <w:bottom w:type="dxa" w:w="100"/>
              <w:right w:type="dxa" w:w="120"/>
            </w:tcMar>
          </w:tcPr>
          <w:p>
            <w:r>
              <w:rPr>
                <w:b w:val="false"/>
                <w:bCs w:val="false"/>
                <w:color w:val="1A1A1A"/>
                <w:sz w:val="20"/>
                <w:szCs w:val="20"/>
              </w:rPr>
              <w:t xml:space="preserve">11</w:t>
            </w:r>
          </w:p>
        </w:tc>
        <w:tc>
          <w:tcPr>
            <w:tcW w:type="dxa" w:w="3600"/>
            <w:tcMar>
              <w:top w:type="dxa" w:w="100"/>
              <w:left w:type="dxa" w:w="120"/>
              <w:bottom w:type="dxa" w:w="100"/>
              <w:right w:type="dxa" w:w="120"/>
            </w:tcMar>
          </w:tcPr>
          <w:p>
            <w:r>
              <w:rPr>
                <w:b w:val="false"/>
                <w:bCs w:val="false"/>
                <w:color w:val="1A1A1A"/>
                <w:sz w:val="20"/>
                <w:szCs w:val="20"/>
              </w:rPr>
              <w:t xml:space="preserve">Discount waterfall: gross sales → discount → revenue → COGS → gross profit; discount rate.</w:t>
            </w:r>
          </w:p>
        </w:tc>
        <w:tc>
          <w:tcPr>
            <w:tcW w:type="dxa" w:w="4200"/>
            <w:tcMar>
              <w:top w:type="dxa" w:w="100"/>
              <w:left w:type="dxa" w:w="120"/>
              <w:bottom w:type="dxa" w:w="100"/>
              <w:right w:type="dxa" w:w="120"/>
            </w:tcMar>
          </w:tcPr>
          <w:p>
            <w:r>
              <w:rPr>
                <w:b w:val="false"/>
                <w:bCs w:val="false"/>
                <w:color w:val="1A1A1A"/>
                <w:sz w:val="20"/>
                <w:szCs w:val="20"/>
              </w:rPr>
              <w:t xml:space="preserve">Horizontal waterfall / flow diagram with two supporting KPI cards (discount rate, gross margin).</w:t>
            </w:r>
          </w:p>
        </w:tc>
      </w:tr>
      <w:tr>
        <w:tc>
          <w:tcPr>
            <w:tcW w:type="dxa" w:w="900"/>
            <w:shd w:fill="EEF3FC" w:val="clear"/>
            <w:tcMar>
              <w:top w:type="dxa" w:w="100"/>
              <w:left w:type="dxa" w:w="120"/>
              <w:bottom w:type="dxa" w:w="100"/>
              <w:right w:type="dxa" w:w="120"/>
            </w:tcMar>
          </w:tcPr>
          <w:p>
            <w:r>
              <w:rPr>
                <w:b w:val="false"/>
                <w:bCs w:val="false"/>
                <w:color w:val="1A1A1A"/>
                <w:sz w:val="20"/>
                <w:szCs w:val="20"/>
              </w:rPr>
              <w:t xml:space="preserve">12</w:t>
            </w:r>
          </w:p>
        </w:tc>
        <w:tc>
          <w:tcPr>
            <w:tcW w:type="dxa" w:w="3600"/>
            <w:shd w:fill="EEF3FC" w:val="clear"/>
            <w:tcMar>
              <w:top w:type="dxa" w:w="100"/>
              <w:left w:type="dxa" w:w="120"/>
              <w:bottom w:type="dxa" w:w="100"/>
              <w:right w:type="dxa" w:w="120"/>
            </w:tcMar>
          </w:tcPr>
          <w:p>
            <w:r>
              <w:rPr>
                <w:b w:val="false"/>
                <w:bCs w:val="false"/>
                <w:color w:val="1A1A1A"/>
                <w:sz w:val="20"/>
                <w:szCs w:val="20"/>
              </w:rPr>
              <w:t xml:space="preserve">Six one-line takeaways spanning customer, margin, product, category, region, channel.</w:t>
            </w:r>
          </w:p>
        </w:tc>
        <w:tc>
          <w:tcPr>
            <w:tcW w:type="dxa" w:w="4200"/>
            <w:shd w:fill="EEF3FC" w:val="clear"/>
            <w:tcMar>
              <w:top w:type="dxa" w:w="100"/>
              <w:left w:type="dxa" w:w="120"/>
              <w:bottom w:type="dxa" w:w="100"/>
              <w:right w:type="dxa" w:w="120"/>
            </w:tcMar>
          </w:tcPr>
          <w:p>
            <w:r>
              <w:rPr>
                <w:b w:val="false"/>
                <w:bCs w:val="false"/>
                <w:color w:val="1A1A1A"/>
                <w:sz w:val="20"/>
                <w:szCs w:val="20"/>
              </w:rPr>
              <w:t xml:space="preserve">2×3 grid of numbered insight cards, one line each — no new charts.</w:t>
            </w:r>
          </w:p>
        </w:tc>
      </w:tr>
      <w:tr>
        <w:tc>
          <w:tcPr>
            <w:tcW w:type="dxa" w:w="900"/>
            <w:tcMar>
              <w:top w:type="dxa" w:w="100"/>
              <w:left w:type="dxa" w:w="120"/>
              <w:bottom w:type="dxa" w:w="100"/>
              <w:right w:type="dxa" w:w="120"/>
            </w:tcMar>
          </w:tcPr>
          <w:p>
            <w:r>
              <w:rPr>
                <w:b w:val="false"/>
                <w:bCs w:val="false"/>
                <w:color w:val="1A1A1A"/>
                <w:sz w:val="20"/>
                <w:szCs w:val="20"/>
              </w:rPr>
              <w:t xml:space="preserve">13</w:t>
            </w:r>
          </w:p>
        </w:tc>
        <w:tc>
          <w:tcPr>
            <w:tcW w:type="dxa" w:w="3600"/>
            <w:tcMar>
              <w:top w:type="dxa" w:w="100"/>
              <w:left w:type="dxa" w:w="120"/>
              <w:bottom w:type="dxa" w:w="100"/>
              <w:right w:type="dxa" w:w="120"/>
            </w:tcMar>
          </w:tcPr>
          <w:p>
            <w:r>
              <w:rPr>
                <w:b w:val="false"/>
                <w:bCs w:val="false"/>
                <w:color w:val="1A1A1A"/>
                <w:sz w:val="20"/>
                <w:szCs w:val="20"/>
              </w:rPr>
              <w:t xml:space="preserve">Seven management recommendations tied directly to the insights above.</w:t>
            </w:r>
          </w:p>
        </w:tc>
        <w:tc>
          <w:tcPr>
            <w:tcW w:type="dxa" w:w="4200"/>
            <w:tcMar>
              <w:top w:type="dxa" w:w="100"/>
              <w:left w:type="dxa" w:w="120"/>
              <w:bottom w:type="dxa" w:w="100"/>
              <w:right w:type="dxa" w:w="120"/>
            </w:tcMar>
          </w:tcPr>
          <w:p>
            <w:r>
              <w:rPr>
                <w:b w:val="false"/>
                <w:bCs w:val="false"/>
                <w:color w:val="1A1A1A"/>
                <w:sz w:val="20"/>
                <w:szCs w:val="20"/>
              </w:rPr>
              <w:t xml:space="preserve">Two-column numbered list of recommendation cards.</w:t>
            </w:r>
          </w:p>
        </w:tc>
      </w:tr>
      <w:tr>
        <w:tc>
          <w:tcPr>
            <w:tcW w:type="dxa" w:w="900"/>
            <w:shd w:fill="EEF3FC" w:val="clear"/>
            <w:tcMar>
              <w:top w:type="dxa" w:w="100"/>
              <w:left w:type="dxa" w:w="120"/>
              <w:bottom w:type="dxa" w:w="100"/>
              <w:right w:type="dxa" w:w="120"/>
            </w:tcMar>
          </w:tcPr>
          <w:p>
            <w:r>
              <w:rPr>
                <w:b w:val="false"/>
                <w:bCs w:val="false"/>
                <w:color w:val="1A1A1A"/>
                <w:sz w:val="20"/>
                <w:szCs w:val="20"/>
              </w:rPr>
              <w:t xml:space="preserve">14</w:t>
            </w:r>
          </w:p>
        </w:tc>
        <w:tc>
          <w:tcPr>
            <w:tcW w:type="dxa" w:w="3600"/>
            <w:shd w:fill="EEF3FC" w:val="clear"/>
            <w:tcMar>
              <w:top w:type="dxa" w:w="100"/>
              <w:left w:type="dxa" w:w="120"/>
              <w:bottom w:type="dxa" w:w="100"/>
              <w:right w:type="dxa" w:w="120"/>
            </w:tcMar>
          </w:tcPr>
          <w:p>
            <w:r>
              <w:rPr>
                <w:b w:val="false"/>
                <w:bCs w:val="false"/>
                <w:color w:val="1A1A1A"/>
                <w:sz w:val="20"/>
                <w:szCs w:val="20"/>
              </w:rPr>
              <w:t xml:space="preserve">Closing narrative arc and final takeaway message; technology stack; validation summary.</w:t>
            </w:r>
          </w:p>
        </w:tc>
        <w:tc>
          <w:tcPr>
            <w:tcW w:type="dxa" w:w="4200"/>
            <w:shd w:fill="EEF3FC" w:val="clear"/>
            <w:tcMar>
              <w:top w:type="dxa" w:w="100"/>
              <w:left w:type="dxa" w:w="120"/>
              <w:bottom w:type="dxa" w:w="100"/>
              <w:right w:type="dxa" w:w="120"/>
            </w:tcMar>
          </w:tcPr>
          <w:p>
            <w:r>
              <w:rPr>
                <w:b w:val="false"/>
                <w:bCs w:val="false"/>
                <w:color w:val="1A1A1A"/>
                <w:sz w:val="20"/>
                <w:szCs w:val="20"/>
              </w:rPr>
              <w:t xml:space="preserve">Dark closing slide mirroring the title slide, with a five-stage transformation flow diagram.</w:t>
            </w:r>
          </w:p>
        </w:tc>
      </w:tr>
    </w:tbl>
    <w:p>
      <w:pPr>
        <w:pStyle w:val="Heading1"/>
        <w:spacing w:after="160" w:before="320"/>
      </w:pPr>
      <w:r>
        <w:t xml:space="preserve">2. Five-Minute Presentation Script</w:t>
      </w:r>
    </w:p>
    <w:p>
      <w:pPr>
        <w:spacing w:after="120" w:line="276"/>
      </w:pPr>
      <w:r>
        <w:t xml:space="preserve">Paced for a tight interview walkthrough — roughly 20 seconds per slide, with more time on slides 6, 7 and 13. Read naturally; don't recite verbatim.</w:t>
      </w:r>
    </w:p>
    <w:p>
      <w:pPr>
        <w:pStyle w:val="Heading3"/>
        <w:spacing w:after="80" w:before="180"/>
      </w:pPr>
      <w:r>
        <w:t xml:space="preserve">Opening (Slides 1–2) — ~40s</w:t>
      </w:r>
    </w:p>
    <w:p>
      <w:pPr>
        <w:spacing w:after="120" w:line="276"/>
      </w:pPr>
      <w:r>
        <w:t xml:space="preserve">“This is NexaMart Customer Profitability &amp; Revenue Intelligence — an end-to-end retail analytics project built with Python, SQL, Power BI and Excel. The business question driving it: NexaMart's revenue was growing, but growth in revenue doesn't automatically mean growth in profit. So the core question I set out to answer was — where is NexaMart generating revenue, and where is it actually creating profitable value?”</w:t>
      </w:r>
    </w:p>
    <w:p>
      <w:pPr>
        <w:pStyle w:val="Heading3"/>
        <w:spacing w:after="80" w:before="180"/>
      </w:pPr>
      <w:r>
        <w:t xml:space="preserve">Scope &amp; method (Slides 3–5) — ~45s</w:t>
      </w:r>
    </w:p>
    <w:p>
      <w:pPr>
        <w:spacing w:after="120" w:line="276"/>
      </w:pPr>
      <w:r>
        <w:t xml:space="preserve">“The dataset covers 10,000 orders, 1,000 customers and 50 products across four regions and two channels, spanning three years. I ran it through a full pipeline: Python for data generation and validation, Excel for a first look, SQL for transformation and business-logic checks, and Power BI for the interactive analytical layer — all sitting on a fact table of customer profitability joined to six dimensions.”</w:t>
      </w:r>
    </w:p>
    <w:p>
      <w:pPr>
        <w:pStyle w:val="Heading3"/>
        <w:spacing w:after="80" w:before="180"/>
      </w:pPr>
      <w:r>
        <w:t xml:space="preserve">Executive performance (Slide 6) — ~40s</w:t>
      </w:r>
    </w:p>
    <w:p>
      <w:pPr>
        <w:spacing w:after="120" w:line="276"/>
      </w:pPr>
      <w:r>
        <w:t xml:space="preserve">“At the top line, NexaMart generated ₹174.38 million in revenue and ₹46.92 million in gross profit — a 26.91% gross margin across 10,000 orders and roughly 998 customers. That's a healthy base. But the moment you slice it by customer, product, region or channel, that average starts to hide real variation — which is the rest of the story.”</w:t>
      </w:r>
    </w:p>
    <w:p>
      <w:pPr>
        <w:pStyle w:val="Heading3"/>
        <w:spacing w:after="80" w:before="180"/>
      </w:pPr>
      <w:r>
        <w:t xml:space="preserve">Customer &amp; product (Slides 7–8) — ~60s</w:t>
      </w:r>
    </w:p>
    <w:p>
      <w:pPr>
        <w:spacing w:after="120" w:line="276"/>
      </w:pPr>
      <w:r>
        <w:t xml:space="preserve">“On the customer side, the top individual profit contributors are concentrated in the Corporate segment — names like Dalbir Agrawal and Siddharth Bains each generate over ₹300,000 in gross profit. But if you look at margin efficiency instead of absolute profit, Consumer is actually the strongest segment at 37%, ahead of Corporate at 31%. Those are two different lenses, and both matter. Same pattern on products: Furniture is the largest category by revenue and gross profit, Electronics balances scale and margin well at 32.46%, and Office Supplies — despite being the smallest category — has the best margin in the portfolio at 38.74%.”</w:t>
      </w:r>
    </w:p>
    <w:p>
      <w:pPr>
        <w:pStyle w:val="Heading3"/>
        <w:spacing w:after="80" w:before="180"/>
      </w:pPr>
      <w:r>
        <w:t xml:space="preserve">Region, channel, discount (Slides 9–11) — ~45s</w:t>
      </w:r>
    </w:p>
    <w:p>
      <w:pPr>
        <w:spacing w:after="120" w:line="276"/>
      </w:pPr>
      <w:r>
        <w:t xml:space="preserve">“Regionally, South leads on scale, but West posts the best margin at 27.50%, making it a useful internal benchmark. Channel-wise, Store leads on absolute revenue and profit, but Online has more orders and a slightly higher margin. And discounting is meaningful — NexaMart runs roughly a 10% discount rate, which is worth managing by incremental value rather than applying it broadly.”</w:t>
      </w:r>
    </w:p>
    <w:p>
      <w:pPr>
        <w:pStyle w:val="Heading3"/>
        <w:spacing w:after="80" w:before="180"/>
      </w:pPr>
      <w:r>
        <w:t xml:space="preserve">Recommendations &amp; close (Slides 12–14) — ~40s</w:t>
      </w:r>
    </w:p>
    <w:p>
      <w:pPr>
        <w:spacing w:after="120" w:line="276"/>
      </w:pPr>
      <w:r>
        <w:t xml:space="preserve">“Pulling that together into action: protect the high-profit Corporate accounts, use West as the regional efficiency benchmark, lean further into Electronics and Online, and move discounting from a blanket policy to a targeted one. The headline takeaway is that revenue scale, customer value and margin efficiency are three different dimensions of performance — and a good growth strategy has to optimize all three, not just chase revenue.”</w:t>
      </w:r>
    </w:p>
    <w:p>
      <w:pPr>
        <w:pStyle w:val="Heading1"/>
        <w:spacing w:after="160" w:before="320"/>
      </w:pPr>
      <w:r>
        <w:t xml:space="preserve">3. Ten-Minute Presentation Script</w:t>
      </w:r>
    </w:p>
    <w:p>
      <w:pPr>
        <w:spacing w:after="120" w:line="276"/>
      </w:pPr>
      <w:r>
        <w:t xml:space="preserve">Same narrative arc, expanded with the reasoning and numbers an interviewer is likely to probe on. Roughly 40–45 seconds per slide.</w:t>
      </w:r>
    </w:p>
    <w:p>
      <w:pPr>
        <w:pStyle w:val="Heading3"/>
        <w:spacing w:after="80" w:before="180"/>
      </w:pPr>
      <w:r>
        <w:t xml:space="preserve">Slide 1 — Title (~20s)</w:t>
      </w:r>
    </w:p>
    <w:p>
      <w:pPr>
        <w:spacing w:after="120" w:line="276"/>
      </w:pPr>
      <w:r>
        <w:t xml:space="preserve">“I'll walk you through an end-to-end retail analytics project I call NexaMart Customer Profitability &amp; Revenue Intelligence. It's built across four tools — Python, SQL, Power BI and Excel — and designed to answer a single business question rather than just show dashboards.”</w:t>
      </w:r>
    </w:p>
    <w:p>
      <w:pPr>
        <w:pStyle w:val="Heading3"/>
        <w:spacing w:after="80" w:before="180"/>
      </w:pPr>
      <w:r>
        <w:t xml:space="preserve">Slide 2 — Business context (~50s)</w:t>
      </w:r>
    </w:p>
    <w:p>
      <w:pPr>
        <w:spacing w:after="120" w:line="276"/>
      </w:pPr>
      <w:r>
        <w:t xml:space="preserve">“NexaMart is a multi-category retailer operating across regions and two channels. The trigger for this analysis was a common retail pattern: revenue climbs, but profit doesn't climb proportionally. So the central question is — where is NexaMart generating revenue, and where is it actually creating profitable value? To answer that I broke it into five sub-questions: which customers are most valuable, which products or categories are most profitable, which regions perform best, which channel is more efficient, and how discounts affect profitability. Everything downstream in the deck answers one of these five.”</w:t>
      </w:r>
    </w:p>
    <w:p>
      <w:pPr>
        <w:pStyle w:val="Heading3"/>
        <w:spacing w:after="80" w:before="180"/>
      </w:pPr>
      <w:r>
        <w:t xml:space="preserve">Slide 3 — Dataset &amp; scope (~40s)</w:t>
      </w:r>
    </w:p>
    <w:p>
      <w:pPr>
        <w:spacing w:after="120" w:line="276"/>
      </w:pPr>
      <w:r>
        <w:t xml:space="preserve">“The underlying dataset is a synthetic but realistically-modeled transactional dataset — 10,000 orders, 1,000 customers, 50 products, four regions, two sales channels and three customer segments, spanning January 2023 to December 2025. I built it this way deliberately so I could control data quality and still exercise a full analytics pipeline. The analysis cuts across six dimensions: customer, product, region, channel, time, and ultimately profitability.”</w:t>
      </w:r>
    </w:p>
    <w:p>
      <w:pPr>
        <w:pStyle w:val="Heading3"/>
        <w:spacing w:after="80" w:before="180"/>
      </w:pPr>
      <w:r>
        <w:t xml:space="preserve">Slide 4 — Workflow (~40s)</w:t>
      </w:r>
    </w:p>
    <w:p>
      <w:pPr>
        <w:spacing w:after="120" w:line="276"/>
      </w:pPr>
      <w:r>
        <w:t xml:space="preserve">“Each tool had a distinct job rather than overlapping. Python generated, prepared and validated the data. Excel gave me a fast first look at the raw tables. SQL did the heavy transformation work and business-logic validation — joins, aggregations, sanity checks against known totals. Power BI is where the DAX modelling and interactive dashboards live, letting a user slice by any dimension. The last two stages — insights and recommendations — are the business layer, which is what this deck actually presents.”</w:t>
      </w:r>
    </w:p>
    <w:p>
      <w:pPr>
        <w:pStyle w:val="Heading3"/>
        <w:spacing w:after="80" w:before="180"/>
      </w:pPr>
      <w:r>
        <w:t xml:space="preserve">Slide 5 — Data model (~40s)</w:t>
      </w:r>
    </w:p>
    <w:p>
      <w:pPr>
        <w:spacing w:after="120" w:line="276"/>
      </w:pPr>
      <w:r>
        <w:t xml:space="preserve">“Underneath the dashboards sits a standard star schema: a fact table called fact_customer_profitability at order grain — Order_ID is the transaction key — joined to six dimension tables: customer, product, category, region, sales channel and time. Five core metrics roll up from that fact table: revenue, COGS, gross profit, gross margin and discount. That structure is what lets me slice profitability by any combination of dimensions without rebuilding logic each time.”</w:t>
      </w:r>
    </w:p>
    <w:p>
      <w:pPr>
        <w:pStyle w:val="Heading3"/>
        <w:spacing w:after="80" w:before="180"/>
      </w:pPr>
      <w:r>
        <w:t xml:space="preserve">Slide 6 — Executive performance (~55s)</w:t>
      </w:r>
    </w:p>
    <w:p>
      <w:pPr>
        <w:spacing w:after="120" w:line="276"/>
      </w:pPr>
      <w:r>
        <w:t xml:space="preserve">“At the aggregate level, NexaMart generated ₹194.14 million in gross sales, which nets down to ₹174.38 million in revenue after ₹19.76 million in discounts, and ₹46.92 million in gross profit — a 26.91% gross margin across 10,000 orders from roughly 998 customers. On its own that's a solid, healthy business. But that single blended margin number is an average, and averages hide distribution. The rest of the deck is about where that 26.91% comes from — which customers, products, regions and channels are actually pulling their weight, and which are riding on the others.”</w:t>
      </w:r>
    </w:p>
    <w:p>
      <w:pPr>
        <w:pStyle w:val="Heading3"/>
        <w:spacing w:after="80" w:before="180"/>
      </w:pPr>
      <w:r>
        <w:t xml:space="preserve">Slide 7 — Customer &amp; segment (~70s)</w:t>
      </w:r>
    </w:p>
    <w:p>
      <w:pPr>
        <w:spacing w:after="120" w:line="276"/>
      </w:pPr>
      <w:r>
        <w:t xml:space="preserve">“Looking at individual customers, the top five by gross profit — Dalbir Agrawal, Siddharth Bains, Ryan Lai, Ekani Raj and Gautam Mane — each contribute between ₹279,000 and ₹347,000 in gross profit, and they're concentrated in the Corporate segment. That would suggest Corporate is NexaMart's best segment. But when I looked at margin instead of absolute profit, the ranking flips: Consumer has the highest segment gross margin at 37%, Small Business is at 35%, and Corporate — despite producing the biggest individual profit numbers — sits lowest at 31%. That's the most important distinction in this whole project: customer value and margin efficiency are not the same thing, and a management team needs both lenses. Corporate customers are worth protecting because of scale; Consumer customers are worth understanding because of efficiency.”</w:t>
      </w:r>
    </w:p>
    <w:p>
      <w:pPr>
        <w:pStyle w:val="Heading3"/>
        <w:spacing w:after="80" w:before="180"/>
      </w:pPr>
      <w:r>
        <w:t xml:space="preserve">Slide 8 — Product &amp; category (~65s)</w:t>
      </w:r>
    </w:p>
    <w:p>
      <w:pPr>
        <w:spacing w:after="120" w:line="276"/>
      </w:pPr>
      <w:r>
        <w:t xml:space="preserve">“On products, Exercise Bike leads by gross profit at roughly ₹4.97 million with a 19.80% margin, followed by Standing Desk at ₹3.59 million with a stronger 23.48% margin, and Executive Office Chair at ₹2.58 million. At the category level, Furniture is the clear scale leader — ₹65.91 million revenue, ₹16.51 million gross profit — but its margin, at 25.05%, is middling. Electronics is the standout combination of scale and efficiency: ₹32.15 million revenue at a 32.46% margin. And Office Supplies is the interesting outlier — only ₹2.85 million in revenue, the smallest category by far, but the best margin in the entire portfolio at 38.74%. The takeaway I'd give a category manager: revenue leadership and margin leadership are not the same category, and Office Supplies specifically deserves a scaling conversation.”</w:t>
      </w:r>
    </w:p>
    <w:p>
      <w:pPr>
        <w:pStyle w:val="Heading3"/>
        <w:spacing w:after="80" w:before="180"/>
      </w:pPr>
      <w:r>
        <w:t xml:space="preserve">Slide 9 — Regional (~50s)</w:t>
      </w:r>
    </w:p>
    <w:p>
      <w:pPr>
        <w:spacing w:after="120" w:line="276"/>
      </w:pPr>
      <w:r>
        <w:t xml:space="preserve">“Regionally, South is the clear scale leader — ₹69.83 million revenue, ₹18.45 million gross profit, 3,821 orders — roughly double the next closest region. But margin tells a different story: West, despite being the third-largest region by revenue, posts the best gross margin at 27.50%, ahead of North at 27.19% and South itself at 26.43%. I'd treat West as an internal efficiency benchmark — whatever operational or pricing discipline is happening there is worth studying and potentially replicating in South, where the volume already exists.”</w:t>
      </w:r>
    </w:p>
    <w:p>
      <w:pPr>
        <w:pStyle w:val="Heading3"/>
        <w:spacing w:after="80" w:before="180"/>
      </w:pPr>
      <w:r>
        <w:t xml:space="preserve">Slide 10 — Channel (~45s)</w:t>
      </w:r>
    </w:p>
    <w:p>
      <w:pPr>
        <w:spacing w:after="120" w:line="276"/>
      </w:pPr>
      <w:r>
        <w:t xml:space="preserve">“Between the two channels, Store still leads on absolute numbers — ₹92.33 million revenue, ₹24.36 million gross profit — but Online is closing the gap with ₹82.06 million revenue and ₹22.56 million gross profit, off more orders (5,436 versus 4,564) and a margin about 1.10 percentage points higher at 27.49%. Store is the current backbone; Online is the more efficient, faster-growing engine.”</w:t>
      </w:r>
    </w:p>
    <w:p>
      <w:pPr>
        <w:pStyle w:val="Heading3"/>
        <w:spacing w:after="80" w:before="180"/>
      </w:pPr>
      <w:r>
        <w:t xml:space="preserve">Slide 11 — Discount (~40s)</w:t>
      </w:r>
    </w:p>
    <w:p>
      <w:pPr>
        <w:spacing w:after="120" w:line="276"/>
      </w:pPr>
      <w:r>
        <w:t xml:space="preserve">“Following the money from gross sales to gross profit: ₹194.14 million in gross sales, minus ₹19.76 million in discounts — a 10.18% discount rate — leaves ₹174.38 million in revenue. Subtract ₹127.46 million in COGS and you land at ₹46.92 million gross profit, the 26.91% margin we started with. A double-digit discount rate applied broadly is exactly the kind of lever that's worth auditing by segment rather than accepting as a blanket cost of doing business.”</w:t>
      </w:r>
    </w:p>
    <w:p>
      <w:pPr>
        <w:pStyle w:val="Heading3"/>
        <w:spacing w:after="80" w:before="180"/>
      </w:pPr>
      <w:r>
        <w:t xml:space="preserve">Slide 12 — Key insights (~35s)</w:t>
      </w:r>
    </w:p>
    <w:p>
      <w:pPr>
        <w:spacing w:after="120" w:line="276"/>
      </w:pPr>
      <w:r>
        <w:t xml:space="preserve">“Pulling the whole analysis together into six one-line insights: Corporate dominates individual profit, Consumer leads on margin, Exercise Bike leads by product, Furniture leads by category revenue, South leads on regional scale while West leads on regional margin, and Store leads on channel profit while Online leads on channel efficiency. Notice the pattern repeating at every level — scale and efficiency keep splitting apart.”</w:t>
      </w:r>
    </w:p>
    <w:p>
      <w:pPr>
        <w:pStyle w:val="Heading3"/>
        <w:spacing w:after="80" w:before="180"/>
      </w:pPr>
      <w:r>
        <w:t xml:space="preserve">Slide 13 — Recommendations (~55s)</w:t>
      </w:r>
    </w:p>
    <w:p>
      <w:pPr>
        <w:spacing w:after="120" w:line="276"/>
      </w:pPr>
      <w:r>
        <w:t xml:space="preserve">“Each recommendation traces back to one of those insights. Protect and retain the high-profit Corporate accounts, but also investigate whether Corporate margins can be lifted through pricing, discount management or product mix — since they're currently the least efficient segment despite being the most valuable in absolute terms. Use West as the regional efficiency template. Prioritize Electronics given its strong scale-margin combination, and evaluate scaling Office Supplies carefully so its 38.74% margin doesn't erode. Expand Online deliberately, since it already wins on both order volume and margin. And shift the discount strategy from broad to targeted, using incremental value rather than volume as the test.”</w:t>
      </w:r>
    </w:p>
    <w:p>
      <w:pPr>
        <w:pStyle w:val="Heading3"/>
        <w:spacing w:after="80" w:before="180"/>
      </w:pPr>
      <w:r>
        <w:t xml:space="preserve">Slide 14 — Conclusion (~35s)</w:t>
      </w:r>
    </w:p>
    <w:p>
      <w:pPr>
        <w:spacing w:after="120" w:line="276"/>
      </w:pPr>
      <w:r>
        <w:t xml:space="preserve">“To close: this project moved from 10,000 raw transactions, through SQL and Python analysis, into a Power BI intelligence layer, down to segment-level insights, and finally into management-ready decisions. The one thing I'd want a stakeholder to remember is that revenue scale, customer value, and margin efficiency are three different dimensions of business performance — and a genuinely profitable growth strategy has to optimize all three together, not just chase the top line. The project itself was validated at every stage — data checks, financial calculation checks, SQL validation, Power BI validation, filter and slicer testing, and cross-source comparison — so I'm confident the numbers I've just walked you through hold up.”</w:t>
      </w:r>
    </w:p>
    <w:p>
      <w:pPr>
        <w:pStyle w:val="Heading1"/>
        <w:spacing w:after="160" w:before="320"/>
      </w:pPr>
      <w:r>
        <w:t xml:space="preserve">4. 15 Likely Interviewer Questions &amp; Sample Answers</w:t>
      </w:r>
    </w:p>
    <w:p>
      <w:pPr>
        <w:spacing w:after="60" w:before="200"/>
      </w:pPr>
      <w:r>
        <w:rPr>
          <w:b/>
          <w:bCs/>
          <w:color w:val="B9791F"/>
        </w:rPr>
        <w:t xml:space="preserve">Q. </w:t>
      </w:r>
      <w:r>
        <w:rPr>
          <w:b/>
          <w:bCs/>
        </w:rPr>
        <w:t xml:space="preserve">1. Why did you choose gross profit and gross margin as your core metrics instead of net profit?</w:t>
      </w:r>
    </w:p>
    <w:p>
      <w:pPr>
        <w:spacing w:after="60" w:line="276"/>
      </w:pPr>
      <w:r>
        <w:rPr>
          <w:b/>
          <w:bCs/>
          <w:color w:val="1E2761"/>
        </w:rPr>
        <w:t xml:space="preserve">A. </w:t>
      </w:r>
      <w:r>
        <w:t xml:space="preserve">Gross profit and gross margin isolate the direct economics of a sale — revenue minus COGS — without pulling in overhead, marketing spend or fixed costs that this dataset doesn't model. That keeps the analysis honest: I'm making claims I can actually support with the data I have, rather than implying a net-profitability view I can't defend. If overhead allocation data existed, extending to contribution margin or net margin would be the natural next step.</w:t>
      </w:r>
    </w:p>
    <w:p>
      <w:pPr>
        <w:spacing w:after="60" w:before="200"/>
      </w:pPr>
      <w:r>
        <w:rPr>
          <w:b/>
          <w:bCs/>
          <w:color w:val="B9791F"/>
        </w:rPr>
        <w:t xml:space="preserve">Q. </w:t>
      </w:r>
      <w:r>
        <w:rPr>
          <w:b/>
          <w:bCs/>
        </w:rPr>
        <w:t xml:space="preserve">2. Walk me through your SQL logic for computing gross profit by customer.</w:t>
      </w:r>
    </w:p>
    <w:p>
      <w:pPr>
        <w:spacing w:after="60" w:line="276"/>
      </w:pPr>
      <w:r>
        <w:rPr>
          <w:b/>
          <w:bCs/>
          <w:color w:val="1E2761"/>
        </w:rPr>
        <w:t xml:space="preserve">A. </w:t>
      </w:r>
      <w:r>
        <w:t xml:space="preserve">At the base, gross profit per order line is revenue minus COGS, where revenue is unit price times quantity net of discount, and COGS comes from the product dimension. I aggregate that up with a GROUP BY on customer_id, joining the fact table to the customer dimension, and validate the result against a manual recomputation in Excel for a sample of customers before trusting the SQL output at scale.</w:t>
      </w:r>
    </w:p>
    <w:p>
      <w:pPr>
        <w:spacing w:after="60" w:before="200"/>
      </w:pPr>
      <w:r>
        <w:rPr>
          <w:b/>
          <w:bCs/>
          <w:color w:val="B9791F"/>
        </w:rPr>
        <w:t xml:space="preserve">Q. </w:t>
      </w:r>
      <w:r>
        <w:rPr>
          <w:b/>
          <w:bCs/>
        </w:rPr>
        <w:t xml:space="preserve">3. Why is the discount rate around 10%, and is that good or bad?</w:t>
      </w:r>
    </w:p>
    <w:p>
      <w:pPr>
        <w:spacing w:after="60" w:line="276"/>
      </w:pPr>
      <w:r>
        <w:rPr>
          <w:b/>
          <w:bCs/>
          <w:color w:val="1E2761"/>
        </w:rPr>
        <w:t xml:space="preserve">A. </w:t>
      </w:r>
      <w:r>
        <w:t xml:space="preserve">10.18% is the blended rate across all orders. On its own it isn't good or bad — it's a lever. The useful next question is which segments or products are being discounted and whether that discount is actually driving incremental volume, versus just eroding margin on sales that would have happened anyway. That's exactly why I framed it as a recommendation — target discounting by profitability impact rather than judging the aggregate number.</w:t>
      </w:r>
    </w:p>
    <w:p>
      <w:pPr>
        <w:spacing w:after="60" w:before="200"/>
      </w:pPr>
      <w:r>
        <w:rPr>
          <w:b/>
          <w:bCs/>
          <w:color w:val="B9791F"/>
        </w:rPr>
        <w:t xml:space="preserve">Q. </w:t>
      </w:r>
      <w:r>
        <w:rPr>
          <w:b/>
          <w:bCs/>
        </w:rPr>
        <w:t xml:space="preserve">4. How did you decide Corporate customers are more 'valuable' but Consumer is more 'efficient'? Isn't that contradictory?</w:t>
      </w:r>
    </w:p>
    <w:p>
      <w:pPr>
        <w:spacing w:after="60" w:line="276"/>
      </w:pPr>
      <w:r>
        <w:rPr>
          <w:b/>
          <w:bCs/>
          <w:color w:val="1E2761"/>
        </w:rPr>
        <w:t xml:space="preserve">A. </w:t>
      </w:r>
      <w:r>
        <w:t xml:space="preserve">It's not contradictory — they're two different measurements answering two different management questions. Absolute gross profit per customer answers 'who contributes the most cash,' which is a retention and account-management question. Segment-level margin percentage answers 'how efficiently does each dollar of revenue convert to profit,' which is a pricing and cost-structure question. A company can and often does have its highest-absolute-value segment be less margin-efficient than a smaller segment — that's the whole point of showing both.</w:t>
      </w:r>
    </w:p>
    <w:p>
      <w:pPr>
        <w:spacing w:after="60" w:before="200"/>
      </w:pPr>
      <w:r>
        <w:rPr>
          <w:b/>
          <w:bCs/>
          <w:color w:val="B9791F"/>
        </w:rPr>
        <w:t xml:space="preserve">Q. </w:t>
      </w:r>
      <w:r>
        <w:rPr>
          <w:b/>
          <w:bCs/>
        </w:rPr>
        <w:t xml:space="preserve">5. What would you do differently if you had net profit or customer acquisition cost data?</w:t>
      </w:r>
    </w:p>
    <w:p>
      <w:pPr>
        <w:spacing w:after="60" w:line="276"/>
      </w:pPr>
      <w:r>
        <w:rPr>
          <w:b/>
          <w:bCs/>
          <w:color w:val="1E2761"/>
        </w:rPr>
        <w:t xml:space="preserve">A. </w:t>
      </w:r>
      <w:r>
        <w:t xml:space="preserve">I'd extend the customer-value analysis into a true CLV or contribution-margin view, and I'd revisit the segment ranking — Corporate's absolute gross profit lead could shrink or reverse once service cost or acquisition cost is netted out. I'd also want marketing spend by channel to properly compare Store versus Online beyond gross margin.</w:t>
      </w:r>
    </w:p>
    <w:p>
      <w:pPr>
        <w:spacing w:after="60" w:before="200"/>
      </w:pPr>
      <w:r>
        <w:rPr>
          <w:b/>
          <w:bCs/>
          <w:color w:val="B9791F"/>
        </w:rPr>
        <w:t xml:space="preserve">Q. </w:t>
      </w:r>
      <w:r>
        <w:rPr>
          <w:b/>
          <w:bCs/>
        </w:rPr>
        <w:t xml:space="preserve">6. How did you validate that your Power BI numbers matched your SQL output?</w:t>
      </w:r>
    </w:p>
    <w:p>
      <w:pPr>
        <w:spacing w:after="60" w:line="276"/>
      </w:pPr>
      <w:r>
        <w:rPr>
          <w:b/>
          <w:bCs/>
          <w:color w:val="1E2761"/>
        </w:rPr>
        <w:t xml:space="preserve">A. </w:t>
      </w:r>
      <w:r>
        <w:t xml:space="preserve">I ran the same aggregate queries independently in SQL and in Power BI's DAX layer — total revenue, gross profit and margin by region, channel and segment — and cross-checked the totals matched to the rupee before treating any dashboard visual as trustworthy. I also spot-checked a handful of individual customer and order records end-to-end through the pipeline.</w:t>
      </w:r>
    </w:p>
    <w:p>
      <w:pPr>
        <w:spacing w:after="60" w:before="200"/>
      </w:pPr>
      <w:r>
        <w:rPr>
          <w:b/>
          <w:bCs/>
          <w:color w:val="B9791F"/>
        </w:rPr>
        <w:t xml:space="preserve">Q. </w:t>
      </w:r>
      <w:r>
        <w:rPr>
          <w:b/>
          <w:bCs/>
        </w:rPr>
        <w:t xml:space="preserve">7. Why is Office Supplies the highest-margin category but also the smallest?</w:t>
      </w:r>
    </w:p>
    <w:p>
      <w:pPr>
        <w:spacing w:after="60" w:line="276"/>
      </w:pPr>
      <w:r>
        <w:rPr>
          <w:b/>
          <w:bCs/>
          <w:color w:val="1E2761"/>
        </w:rPr>
        <w:t xml:space="preserve">A. </w:t>
      </w:r>
      <w:r>
        <w:t xml:space="preserve">That pattern is common in categories with lower unit COGS relative to price, or lower price sensitivity — but at only ₹2.85 million in revenue it's a small enough base that the margin could partly reflect a narrow, low-volume product mix rather than a scalable structural advantage. That's exactly why I framed the recommendation as 'evaluate whether it can be scaled while protecting the margin' rather than assuming it obviously should be pushed harder — margin often compresses as volume scales.</w:t>
      </w:r>
    </w:p>
    <w:p>
      <w:pPr>
        <w:spacing w:after="60" w:before="200"/>
      </w:pPr>
      <w:r>
        <w:rPr>
          <w:b/>
          <w:bCs/>
          <w:color w:val="B9791F"/>
        </w:rPr>
        <w:t xml:space="preserve">Q. </w:t>
      </w:r>
      <w:r>
        <w:rPr>
          <w:b/>
          <w:bCs/>
        </w:rPr>
        <w:t xml:space="preserve">8. What's the difference between revenue and gross sales in your model?</w:t>
      </w:r>
    </w:p>
    <w:p>
      <w:pPr>
        <w:spacing w:after="60" w:line="276"/>
      </w:pPr>
      <w:r>
        <w:rPr>
          <w:b/>
          <w:bCs/>
          <w:color w:val="1E2761"/>
        </w:rPr>
        <w:t xml:space="preserve">A. </w:t>
      </w:r>
      <w:r>
        <w:t xml:space="preserve">Gross sales is the pre-discount value of everything sold — ₹194.14 million. Revenue is what NexaMart actually recognizes after subtracting ₹19.76 million in discounts — ₹174.38 million. Keeping those separate is what makes the discount-rate calculation possible; if I'd only tracked revenue, the discount impact would be invisible.</w:t>
      </w:r>
    </w:p>
    <w:p>
      <w:pPr>
        <w:spacing w:after="60" w:before="200"/>
      </w:pPr>
      <w:r>
        <w:rPr>
          <w:b/>
          <w:bCs/>
          <w:color w:val="B9791F"/>
        </w:rPr>
        <w:t xml:space="preserve">Q. </w:t>
      </w:r>
      <w:r>
        <w:rPr>
          <w:b/>
          <w:bCs/>
        </w:rPr>
        <w:t xml:space="preserve">9. How would you design an alert or monitoring system on top of this model?</w:t>
      </w:r>
    </w:p>
    <w:p>
      <w:pPr>
        <w:spacing w:after="60" w:line="276"/>
      </w:pPr>
      <w:r>
        <w:rPr>
          <w:b/>
          <w:bCs/>
          <w:color w:val="1E2761"/>
        </w:rPr>
        <w:t xml:space="preserve">A. </w:t>
      </w:r>
      <w:r>
        <w:t xml:space="preserve">I'd set threshold-based alerts in Power BI on gross margin by segment and by category — for example, flag if Corporate segment margin drops below a set floor, or if a category's discount rate moves more than a few points above its trailing average. Those are the two levers this analysis shows are the most sensitive.</w:t>
      </w:r>
    </w:p>
    <w:p>
      <w:pPr>
        <w:spacing w:after="60" w:before="200"/>
      </w:pPr>
      <w:r>
        <w:rPr>
          <w:b/>
          <w:bCs/>
          <w:color w:val="B9791F"/>
        </w:rPr>
        <w:t xml:space="preserve">Q. </w:t>
      </w:r>
      <w:r>
        <w:rPr>
          <w:b/>
          <w:bCs/>
        </w:rPr>
        <w:t xml:space="preserve">10. Why did you use Fixed Effects / DAX / SQL window functions rather than a simpler approach for [X]?</w:t>
      </w:r>
    </w:p>
    <w:p>
      <w:pPr>
        <w:spacing w:after="60" w:line="276"/>
      </w:pPr>
      <w:r>
        <w:rPr>
          <w:b/>
          <w:bCs/>
          <w:color w:val="1E2761"/>
        </w:rPr>
        <w:t xml:space="preserve">A. </w:t>
      </w:r>
      <w:r>
        <w:t xml:space="preserve">For this project the calculations are largely aggregation and ratio-based — sums, group-bys and percentage calculations — so I kept the SQL and DAX layer intentionally straightforward rather than over-engineering it. Complexity should match the analytical question; here the value was in the business framing and validation discipline, not in statistical sophistication.</w:t>
      </w:r>
    </w:p>
    <w:p>
      <w:pPr>
        <w:spacing w:after="60" w:before="200"/>
      </w:pPr>
      <w:r>
        <w:rPr>
          <w:b/>
          <w:bCs/>
          <w:color w:val="B9791F"/>
        </w:rPr>
        <w:t xml:space="preserve">Q. </w:t>
      </w:r>
      <w:r>
        <w:rPr>
          <w:b/>
          <w:bCs/>
        </w:rPr>
        <w:t xml:space="preserve">11. If NexaMart could only act on one recommendation from this deck, which would you pick and why?</w:t>
      </w:r>
    </w:p>
    <w:p>
      <w:pPr>
        <w:spacing w:after="60" w:line="276"/>
      </w:pPr>
      <w:r>
        <w:rPr>
          <w:b/>
          <w:bCs/>
          <w:color w:val="1E2761"/>
        </w:rPr>
        <w:t xml:space="preserve">A. </w:t>
      </w:r>
      <w:r>
        <w:t xml:space="preserve">I'd prioritize the targeted-discounting recommendation, because it's the lever most directly under management's control and touches every other finding — discount policy affects customer margin, category margin, regional margin and channel margin simultaneously. The others (protecting Corporate, benchmarking against West, scaling Electronics or Online) are more like strategic bets; discount discipline is closer to an operational fix with near-term payoff.</w:t>
      </w:r>
    </w:p>
    <w:p>
      <w:pPr>
        <w:spacing w:after="60" w:before="200"/>
      </w:pPr>
      <w:r>
        <w:rPr>
          <w:b/>
          <w:bCs/>
          <w:color w:val="B9791F"/>
        </w:rPr>
        <w:t xml:space="preserve">Q. </w:t>
      </w:r>
      <w:r>
        <w:rPr>
          <w:b/>
          <w:bCs/>
        </w:rPr>
        <w:t xml:space="preserve">12. How did you handle outliers or data-quality issues in a synthetic dataset like this?</w:t>
      </w:r>
    </w:p>
    <w:p>
      <w:pPr>
        <w:spacing w:after="60" w:line="276"/>
      </w:pPr>
      <w:r>
        <w:rPr>
          <w:b/>
          <w:bCs/>
          <w:color w:val="1E2761"/>
        </w:rPr>
        <w:t xml:space="preserve">A. </w:t>
      </w:r>
      <w:r>
        <w:t xml:space="preserve">Even synthetic data needs validation — I checked for negative margins, orders with zero or null revenue, and category/region combinations with implausibly few orders, and reconciled aggregate totals against what the generation logic should have produced. Data-quality discipline was one of the explicit stages in the workflow, not an afterthought.</w:t>
      </w:r>
    </w:p>
    <w:p>
      <w:pPr>
        <w:spacing w:after="60" w:before="200"/>
      </w:pPr>
      <w:r>
        <w:rPr>
          <w:b/>
          <w:bCs/>
          <w:color w:val="B9791F"/>
        </w:rPr>
        <w:t xml:space="preserve">Q. </w:t>
      </w:r>
      <w:r>
        <w:rPr>
          <w:b/>
          <w:bCs/>
        </w:rPr>
        <w:t xml:space="preserve">13. Why present both a bar chart and a table for the regional data specifically?</w:t>
      </w:r>
    </w:p>
    <w:p>
      <w:pPr>
        <w:spacing w:after="60" w:line="276"/>
      </w:pPr>
      <w:r>
        <w:rPr>
          <w:b/>
          <w:bCs/>
          <w:color w:val="1E2761"/>
        </w:rPr>
        <w:t xml:space="preserve">A. </w:t>
      </w:r>
      <w:r>
        <w:t xml:space="preserve">The table lets a reviewer verify exact figures for every region on every metric at once, which matters when the West-versus-South distinction hinges on a margin difference of just over a percentage point. The chart makes that same distinction visually obvious in under two seconds. Together they serve two different reading speeds in the same slide.</w:t>
      </w:r>
    </w:p>
    <w:p>
      <w:pPr>
        <w:spacing w:after="60" w:before="200"/>
      </w:pPr>
      <w:r>
        <w:rPr>
          <w:b/>
          <w:bCs/>
          <w:color w:val="B9791F"/>
        </w:rPr>
        <w:t xml:space="preserve">Q. </w:t>
      </w:r>
      <w:r>
        <w:rPr>
          <w:b/>
          <w:bCs/>
        </w:rPr>
        <w:t xml:space="preserve">14. What's a limitation of this project you'd be upfront about?</w:t>
      </w:r>
    </w:p>
    <w:p>
      <w:pPr>
        <w:spacing w:after="60" w:line="276"/>
      </w:pPr>
      <w:r>
        <w:rPr>
          <w:b/>
          <w:bCs/>
          <w:color w:val="1E2761"/>
        </w:rPr>
        <w:t xml:space="preserve">A. </w:t>
      </w:r>
      <w:r>
        <w:t xml:space="preserve">The dataset is synthetic, so while it's modeled to behave realistically, it hasn't been tested against the noise and edge cases of real transactional data — duplicate orders, returns, currency or timezone issues, and so on. I'd treat this as a strong demonstration of the analytical workflow and business framing, and be explicit that production data would need additional cleaning and validation steps before these exact conclusions could be trusted operationally.</w:t>
      </w:r>
    </w:p>
    <w:p>
      <w:pPr>
        <w:spacing w:after="60" w:before="200"/>
      </w:pPr>
      <w:r>
        <w:rPr>
          <w:b/>
          <w:bCs/>
          <w:color w:val="B9791F"/>
        </w:rPr>
        <w:t xml:space="preserve">Q. </w:t>
      </w:r>
      <w:r>
        <w:rPr>
          <w:b/>
          <w:bCs/>
        </w:rPr>
        <w:t xml:space="preserve">15. How does this project demonstrate skills relevant to a Data Analyst role specifically, versus a data scientist or engineer role?</w:t>
      </w:r>
    </w:p>
    <w:p>
      <w:pPr>
        <w:spacing w:after="60" w:line="276"/>
      </w:pPr>
      <w:r>
        <w:rPr>
          <w:b/>
          <w:bCs/>
          <w:color w:val="1E2761"/>
        </w:rPr>
        <w:t xml:space="preserve">A. </w:t>
      </w:r>
      <w:r>
        <w:t xml:space="preserve">The emphasis throughout is translating data into a business decision, not building predictive models or infrastructure — SQL for transformation and validation, Power BI for a stakeholder-facing analytical layer, and every finding tied to a specific, actionable recommendation. That's the core Data Analyst loop: extract, validate, visualize, and recommend, which is what this deck is structured to show end-to-end.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mbria" w:cs="Cambria" w:eastAsia="Cambria" w:hAnsi="Cambria"/>
      <w:b/>
      <w:bCs/>
      <w:color w:val="1E2761"/>
      <w:sz w:val="32"/>
      <w:szCs w:val="32"/>
    </w:rPr>
  </w:style>
  <w:style w:type="paragraph" w:styleId="Heading2">
    <w:name w:val="Heading 2"/>
    <w:basedOn w:val="Normal"/>
    <w:next w:val="Normal"/>
    <w:qFormat/>
    <w:pPr>
      <w:spacing w:after="120" w:before="240"/>
    </w:pPr>
    <w:rPr>
      <w:rFonts w:ascii="Cambria" w:cs="Cambria" w:eastAsia="Cambria" w:hAnsi="Cambria"/>
      <w:b/>
      <w:bCs/>
      <w:color w:val="1E2761"/>
      <w:sz w:val="26"/>
      <w:szCs w:val="26"/>
    </w:rPr>
  </w:style>
  <w:style w:type="paragraph" w:styleId="Heading3">
    <w:name w:val="Heading 3"/>
    <w:basedOn w:val="Normal"/>
    <w:next w:val="Normal"/>
    <w:qFormat/>
    <w:pPr>
      <w:spacing w:after="80" w:before="180"/>
    </w:pPr>
    <w:rPr>
      <w:rFonts w:ascii="Calibri" w:cs="Calibri" w:eastAsia="Calibri" w:hAnsi="Calibri"/>
      <w:b/>
      <w:bCs/>
      <w:color w:val="B979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2026-08-20T06:44:27.369Z</dcterms:created>
  <dcterms:modified xsi:type="dcterms:W3CDTF">2026-08-20T06:44:27.382Z</dcterms:modified>
</cp:coreProperties>
</file>

<file path=docProps/custom.xml><?xml version="1.0" encoding="utf-8"?>
<Properties xmlns="http://schemas.openxmlformats.org/officeDocument/2006/custom-properties" xmlns:vt="http://schemas.openxmlformats.org/officeDocument/2006/docPropsVTypes"/>
</file>