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7A5B"/>
          <w:sz w:val="20"/>
          <w:szCs w:val="20"/>
        </w:rPr>
        <w:t xml:space="preserve">LocalIQ · Investigación de mercado</w:t>
      </w:r>
    </w:p>
    <w:p>
      <w:pPr>
        <w:spacing w:after="40"/>
      </w:pPr>
      <w:r>
        <w:rPr>
          <w:b/>
          <w:bCs/>
          <w:color w:val="1A1A1A"/>
          <w:sz w:val="40"/>
          <w:szCs w:val="40"/>
        </w:rPr>
        <w:t xml:space="preserve">Pain points de renta de locales comerciales: arrendadores vs. arrendatarios</w:t>
      </w:r>
    </w:p>
    <w:p>
      <w:pPr>
        <w:spacing w:after="300"/>
      </w:pPr>
      <w:r>
        <w:rPr>
          <w:i/>
          <w:iCs/>
          <w:color w:val="5A5A5A"/>
          <w:sz w:val="24"/>
          <w:szCs w:val="24"/>
        </w:rPr>
        <w:t xml:space="preserve">Y oportunidades de foco para el MVP</w:t>
      </w:r>
    </w:p>
    <w:p>
      <w:pPr>
        <w:pStyle w:val="Heading1"/>
        <w:pBdr>
          <w:bottom w:val="single" w:color="0B7A5B" w:sz="6" w:space="4"/>
        </w:pBdr>
        <w:spacing w:after="160" w:before="360"/>
      </w:pPr>
      <w:r>
        <w:rPr>
          <w:b/>
          <w:bCs/>
          <w:color w:val="1A1A1A"/>
          <w:sz w:val="30"/>
          <w:szCs w:val="30"/>
        </w:rPr>
        <w:t xml:space="preserve">1. Resumen ejecutivo</w:t>
      </w:r>
    </w:p>
    <w:p>
      <w:pPr>
        <w:spacing w:after="160" w:line="300"/>
      </w:pPr>
      <w:r>
        <w:rPr>
          <w:color w:val="1A1A1A"/>
          <w:sz w:val="21"/>
          <w:szCs w:val="21"/>
        </w:rPr>
        <w:t xml:space="preserve">Se investigaron foros y redes (Reddit, BiggerPockets, Quora, comunidades de real estate) y medios/blogs especializados en México y LatAm para identificar los dolores reales de dos audiencias: dueños de locales que buscan arrendar (arrendadores) y negocios que buscan un local (arrendatarios). El patrón que se repite en ambos lados es el mismo: falta de información confiable al momento de decidir. Los arrendadores no saben qué tipo de negocio le conviene a su zona ni quién es un buen inquilino; los arrendatarios no saben si la ubicación tiene suficiente demanda ni cuánta competencia ya existe ahí.</w:t>
      </w:r>
    </w:p>
    <w:p>
      <w:pPr>
        <w:spacing w:after="160" w:line="300"/>
      </w:pPr>
      <w:r>
        <w:rPr>
          <w:color w:val="1A1A1A"/>
          <w:sz w:val="21"/>
          <w:szCs w:val="21"/>
        </w:rPr>
        <w:t xml:space="preserve">Esto es una buena noticia para LocalIQ: las dos features Pro ya construidas (competidores en radio de 2km y análisis de tendencias de consumo con recomendaciones IA) atacan directamente el pain point central de ambos lados. La recomendación principal de este documento es concentrar el MVP en consolidar esa capa de datos/analytics como diferenciador, en vez de competir en velocidad de proceso o volumen de catálogo, que es donde ya compite Spot2 (la proptech mexicana líder del sector).</w:t>
      </w:r>
    </w:p>
    <w:p>
      <w:pPr>
        <w:pStyle w:val="Heading1"/>
        <w:pBdr>
          <w:bottom w:val="single" w:color="0B7A5B" w:sz="6" w:space="4"/>
        </w:pBdr>
        <w:spacing w:after="160" w:before="360"/>
      </w:pPr>
      <w:r>
        <w:rPr>
          <w:b/>
          <w:bCs/>
          <w:color w:val="1A1A1A"/>
          <w:sz w:val="30"/>
          <w:szCs w:val="30"/>
        </w:rPr>
        <w:t xml:space="preserve">2. Metodología y fuentes</w:t>
      </w:r>
    </w:p>
    <w:p>
      <w:pPr>
        <w:spacing w:after="160" w:line="300"/>
      </w:pPr>
      <w:r>
        <w:rPr>
          <w:color w:val="1A1A1A"/>
          <w:sz w:val="21"/>
          <w:szCs w:val="21"/>
        </w:rPr>
        <w:t xml:space="preserve">Reddit no expone sus discusiones a buscadores de forma indexada de manera consistente, por lo que la búsqueda se complementó con foros equivalentes donde sí hay hilos abiertos y de acceso público (BiggerPockets, Quora), además de medios especializados, blogs legales y de proptech en México. Las fuentes completas están listadas al final de cada sección y en el apartado de referencias.</w:t>
      </w:r>
    </w:p>
    <w:p>
      <w:pPr>
        <w:pStyle w:val="Heading1"/>
        <w:pBdr>
          <w:bottom w:val="single" w:color="0B7A5B" w:sz="6" w:space="4"/>
        </w:pBdr>
        <w:spacing w:after="160" w:before="360"/>
      </w:pPr>
      <w:r>
        <w:rPr>
          <w:b/>
          <w:bCs/>
          <w:color w:val="1A1A1A"/>
          <w:sz w:val="30"/>
          <w:szCs w:val="30"/>
        </w:rPr>
        <w:t xml:space="preserve">3. Pain points del lado ARRENDADOR (dueño del local)</w:t>
      </w:r>
    </w:p>
    <w:p>
      <w:pPr>
        <w:spacing w:after="80" w:before="200"/>
      </w:pPr>
      <w:r>
        <w:rPr>
          <w:b/>
          <w:bCs/>
          <w:color w:val="1A1A1A"/>
          <w:sz w:val="22"/>
          <w:szCs w:val="22"/>
        </w:rPr>
        <w:t xml:space="preserve">3.1 Vacancia prolongada y catálogos de baja calidad</w:t>
      </w:r>
    </w:p>
    <w:p>
      <w:pPr>
        <w:spacing w:after="160" w:line="300"/>
      </w:pPr>
      <w:r>
        <w:rPr>
          <w:color w:val="1A1A1A"/>
          <w:sz w:val="21"/>
          <w:szCs w:val="21"/>
        </w:rPr>
        <w:t xml:space="preserve">Un problema mencionado de forma recurrente por los propios fundadores de proptechs mexicanas es que la oferta de locales disponible en el mercado son "catálogos de espacios de mala calidad", sin información completa ni proceso claro de renta. El resultado es que el local tarda meses en encontrar inquilino simplemente porque no se muestra bien.</w:t>
      </w:r>
    </w:p>
    <w:p>
      <w:pPr>
        <w:spacing w:after="80" w:before="200"/>
      </w:pPr>
      <w:r>
        <w:rPr>
          <w:b/>
          <w:bCs/>
          <w:color w:val="1A1A1A"/>
          <w:sz w:val="22"/>
          <w:szCs w:val="22"/>
        </w:rPr>
        <w:t xml:space="preserve">3.2 Cero visibilidad sobre qué tipo de negocio le conviene a la zona</w:t>
      </w:r>
    </w:p>
    <w:p>
      <w:pPr>
        <w:spacing w:after="160" w:line="300"/>
      </w:pPr>
      <w:r>
        <w:rPr>
          <w:color w:val="1A1A1A"/>
          <w:sz w:val="21"/>
          <w:szCs w:val="21"/>
        </w:rPr>
        <w:t xml:space="preserve">Los arrendadores negocian "a ciegas": no tienen datos de tráfico, consumo o giros de negocio que ya funcionan cerca. Terminan rentando al primer prospecto en vez de al mejor prospecto para esa ubicación específica.</w:t>
      </w:r>
    </w:p>
    <w:p>
      <w:pPr>
        <w:spacing w:after="80" w:before="200"/>
      </w:pPr>
      <w:r>
        <w:rPr>
          <w:b/>
          <w:bCs/>
          <w:color w:val="1A1A1A"/>
          <w:sz w:val="22"/>
          <w:szCs w:val="22"/>
        </w:rPr>
        <w:t xml:space="preserve">3.3 Riesgo de impago y falta de filtrado de inquilinos</w:t>
      </w:r>
    </w:p>
    <w:p>
      <w:pPr>
        <w:spacing w:after="160" w:line="300"/>
      </w:pPr>
      <w:r>
        <w:rPr>
          <w:color w:val="1A1A1A"/>
          <w:sz w:val="21"/>
          <w:szCs w:val="21"/>
        </w:rPr>
        <w:t xml:space="preserve">El riesgo de rentar sin verificar la salud financiera del negocio entrante es alto: hay casos documentados de inquilinos que dejan de pagar a los pocos meses. En México, además, el proceso legal para recuperar el inmueble por impago puede tardar entre uno y dos años, lo que vuelve muy caro un mal filtrado inicial.</w:t>
      </w:r>
    </w:p>
    <w:p>
      <w:pPr>
        <w:spacing w:after="80" w:before="200"/>
      </w:pPr>
      <w:r>
        <w:rPr>
          <w:b/>
          <w:bCs/>
          <w:color w:val="1A1A1A"/>
          <w:sz w:val="22"/>
          <w:szCs w:val="22"/>
        </w:rPr>
        <w:t xml:space="preserve">3.4 Burocracia y falta de gestión centralizada del proceso</w:t>
      </w:r>
    </w:p>
    <w:p>
      <w:pPr>
        <w:spacing w:after="160" w:line="300"/>
      </w:pPr>
      <w:r>
        <w:rPr>
          <w:color w:val="1A1A1A"/>
          <w:sz w:val="21"/>
          <w:szCs w:val="21"/>
        </w:rPr>
        <w:t xml:space="preserve">En plazas y centros comerciales, la burocracia interna (aprobaciones, cambios de uso, permisos) alarga el proceso de arrendamiento. No existe un flujo estandarizado de "cómo rentar un local", cada propietario o administración lo hace distinto.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50"/>
      </w:tblGrid>
      <w:tr>
        <w:trPr>
          <w:tblHeader/>
        </w:trPr>
        <w:tc>
          <w:tcPr>
            <w:tcW w:type="dxa" w:w="3600"/>
            <w:shd w:fill="0B7A5B" w:color="auto" w:val="clear"/>
            <w:tcMar>
              <w:top w:type="dxa" w:w="80"/>
              <w:left w:type="dxa" w:w="100"/>
              <w:bottom w:type="dxa" w:w="80"/>
              <w:right w:type="dxa" w:w="100"/>
            </w:tcMar>
            <w:vAlign w:val="center"/>
          </w:tcPr>
          <w:p>
            <w:pPr>
              <w:jc w:val="left"/>
            </w:pPr>
            <w:r>
              <w:rPr>
                <w:b/>
                <w:bCs/>
                <w:color w:val="FFFFFF"/>
                <w:sz w:val="19"/>
                <w:szCs w:val="19"/>
              </w:rPr>
              <w:t xml:space="preserve">Pain point</w:t>
            </w:r>
          </w:p>
        </w:tc>
        <w:tc>
          <w:tcPr>
            <w:tcW w:type="dxa" w:w="3600"/>
            <w:shd w:fill="0B7A5B" w:color="auto" w:val="clear"/>
            <w:tcMar>
              <w:top w:type="dxa" w:w="80"/>
              <w:left w:type="dxa" w:w="100"/>
              <w:bottom w:type="dxa" w:w="80"/>
              <w:right w:type="dxa" w:w="100"/>
            </w:tcMar>
            <w:vAlign w:val="center"/>
          </w:tcPr>
          <w:p>
            <w:pPr>
              <w:jc w:val="left"/>
            </w:pPr>
            <w:r>
              <w:rPr>
                <w:b/>
                <w:bCs/>
                <w:color w:val="FFFFFF"/>
                <w:sz w:val="19"/>
                <w:szCs w:val="19"/>
              </w:rPr>
              <w:t xml:space="preserve">Evidencia / fuente</w:t>
            </w:r>
          </w:p>
        </w:tc>
        <w:tc>
          <w:tcPr>
            <w:tcW w:type="dxa" w:w="2150"/>
            <w:shd w:fill="0B7A5B" w:color="auto" w:val="clear"/>
            <w:tcMar>
              <w:top w:type="dxa" w:w="80"/>
              <w:left w:type="dxa" w:w="100"/>
              <w:bottom w:type="dxa" w:w="80"/>
              <w:right w:type="dxa" w:w="100"/>
            </w:tcMar>
            <w:vAlign w:val="center"/>
          </w:tcPr>
          <w:p>
            <w:pPr>
              <w:jc w:val="left"/>
            </w:pPr>
            <w:r>
              <w:rPr>
                <w:b/>
                <w:bCs/>
                <w:color w:val="FFFFFF"/>
                <w:sz w:val="19"/>
                <w:szCs w:val="19"/>
              </w:rPr>
              <w:t xml:space="preserve">Impacto</w:t>
            </w:r>
          </w:p>
        </w:tc>
      </w:tr>
      <w:tr>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Vacancia prolongada / mal marketing del local</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Testimonios de fundadores de Spot2 (proptech MX); foros BiggerPockets</w:t>
            </w:r>
          </w:p>
        </w:tc>
        <w:tc>
          <w:tcPr>
            <w:tcW w:type="dxa" w:w="2150"/>
            <w:tcMar>
              <w:top w:type="dxa" w:w="80"/>
              <w:left w:type="dxa" w:w="100"/>
              <w:bottom w:type="dxa" w:w="80"/>
              <w:right w:type="dxa" w:w="100"/>
            </w:tcMar>
            <w:vAlign w:val="center"/>
          </w:tcPr>
          <w:p>
            <w:pPr>
              <w:jc w:val="left"/>
            </w:pPr>
            <w:r>
              <w:rPr>
                <w:b w:val="false"/>
                <w:bCs w:val="false"/>
                <w:color w:val="1A1A1A"/>
                <w:sz w:val="19"/>
                <w:szCs w:val="19"/>
              </w:rPr>
              <w:t xml:space="preserve">Alto — ingreso perdido cada mes vacío</w:t>
            </w:r>
          </w:p>
        </w:tc>
      </w:tr>
      <w:tr>
        <w:tc>
          <w:tcPr>
            <w:tcW w:type="dxa" w:w="360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Sin datos de zona para elegir el giro correcto</w:t>
            </w:r>
          </w:p>
        </w:tc>
        <w:tc>
          <w:tcPr>
            <w:tcW w:type="dxa" w:w="360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Búsqueda de mercado; ausencia de herramientas de este tipo en plataformas actuales</w:t>
            </w:r>
          </w:p>
        </w:tc>
        <w:tc>
          <w:tcPr>
            <w:tcW w:type="dxa" w:w="215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Alto — mismatch entre local y negocio</w:t>
            </w:r>
          </w:p>
        </w:tc>
      </w:tr>
      <w:tr>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Riesgo de impago / inquilino no calificado</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Casos en foros de landlords; guías legales MX sobre desalojo (12-24 meses)</w:t>
            </w:r>
          </w:p>
        </w:tc>
        <w:tc>
          <w:tcPr>
            <w:tcW w:type="dxa" w:w="2150"/>
            <w:tcMar>
              <w:top w:type="dxa" w:w="80"/>
              <w:left w:type="dxa" w:w="100"/>
              <w:bottom w:type="dxa" w:w="80"/>
              <w:right w:type="dxa" w:w="100"/>
            </w:tcMar>
            <w:vAlign w:val="center"/>
          </w:tcPr>
          <w:p>
            <w:pPr>
              <w:jc w:val="left"/>
            </w:pPr>
            <w:r>
              <w:rPr>
                <w:b w:val="false"/>
                <w:bCs w:val="false"/>
                <w:color w:val="1A1A1A"/>
                <w:sz w:val="19"/>
                <w:szCs w:val="19"/>
              </w:rPr>
              <w:t xml:space="preserve">Alto — costo legal y de oportunidad</w:t>
            </w:r>
          </w:p>
        </w:tc>
      </w:tr>
      <w:tr>
        <w:tc>
          <w:tcPr>
            <w:tcW w:type="dxa" w:w="360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Burocracia y falta de proceso estandarizado</w:t>
            </w:r>
          </w:p>
        </w:tc>
        <w:tc>
          <w:tcPr>
            <w:tcW w:type="dxa" w:w="360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Declaraciones de cofundador de Spot2 sobre el mercado mexicano</w:t>
            </w:r>
          </w:p>
        </w:tc>
        <w:tc>
          <w:tcPr>
            <w:tcW w:type="dxa" w:w="215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Medio — fricción y demoras</w:t>
            </w:r>
          </w:p>
        </w:tc>
      </w:tr>
    </w:tbl>
    <w:p>
      <w:pPr>
        <w:spacing w:after="240"/>
      </w:pPr>
      <w:r>
        <w:rPr>
          <w:i/>
          <w:iCs/>
          <w:color w:val="5A5A5A"/>
          <w:sz w:val="17"/>
          <w:szCs w:val="17"/>
        </w:rPr>
        <w:t xml:space="preserve">Fuentes: Bloomberg Línea — "La proptech mexicana Spot2 levanta US$4.2M"; Marketing4eCommerce — "Así es Spot2"; BiggerPockets, foros "Vetting Commercial Tenants" y "Landlords... stop being so hard on your tenants"; blog Homie.mx y ALEF-BEIT Abogados sobre impago de renta en México.</w:t>
      </w:r>
    </w:p>
    <w:p>
      <w:pPr>
        <w:pStyle w:val="Heading1"/>
        <w:pBdr>
          <w:bottom w:val="single" w:color="0B7A5B" w:sz="6" w:space="4"/>
        </w:pBdr>
        <w:spacing w:after="160" w:before="360"/>
      </w:pPr>
      <w:r>
        <w:rPr>
          <w:b/>
          <w:bCs/>
          <w:color w:val="1A1A1A"/>
          <w:sz w:val="30"/>
          <w:szCs w:val="30"/>
        </w:rPr>
        <w:t xml:space="preserve">4. Pain points del lado ARRENDATARIO (negocio que busca local)</w:t>
      </w:r>
    </w:p>
    <w:p>
      <w:pPr>
        <w:spacing w:after="80" w:before="200"/>
      </w:pPr>
      <w:r>
        <w:rPr>
          <w:b/>
          <w:bCs/>
          <w:color w:val="1A1A1A"/>
          <w:sz w:val="22"/>
          <w:szCs w:val="22"/>
        </w:rPr>
        <w:t xml:space="preserve">4.1 Búsqueda que tarda demasiado</w:t>
      </w:r>
    </w:p>
    <w:p>
      <w:pPr>
        <w:spacing w:after="160" w:line="300"/>
      </w:pPr>
      <w:r>
        <w:rPr>
          <w:color w:val="1A1A1A"/>
          <w:sz w:val="21"/>
          <w:szCs w:val="21"/>
        </w:rPr>
        <w:t xml:space="preserve">El tiempo promedio para encontrar y cerrar un local comercial en México ronda entre tres y seis meses. Para un negocio pequeño, ese tiempo muerto significa nómina y renta de otro lugar sin generar ingresos del nuevo punto de venta.</w:t>
      </w:r>
    </w:p>
    <w:p>
      <w:pPr>
        <w:spacing w:after="80" w:before="200"/>
      </w:pPr>
      <w:r>
        <w:rPr>
          <w:b/>
          <w:bCs/>
          <w:color w:val="1A1A1A"/>
          <w:sz w:val="22"/>
          <w:szCs w:val="22"/>
        </w:rPr>
        <w:t xml:space="preserve">4.2 Falta de transparencia en el precio real</w:t>
      </w:r>
    </w:p>
    <w:p>
      <w:pPr>
        <w:spacing w:after="160" w:line="300"/>
      </w:pPr>
      <w:r>
        <w:rPr>
          <w:color w:val="1A1A1A"/>
          <w:sz w:val="21"/>
          <w:szCs w:val="21"/>
        </w:rPr>
        <w:t xml:space="preserve">El precio anunciado casi nunca es el costo real: falta aclarar si incluye o no el "traspaso" (pago por el negocio anterior o su acondicionamiento), mantenimiento, o comisiones. Esta ambigüedad es señalada explícitamente como uno de los principales obstáculos en la búsqueda digital de locales en México.</w:t>
      </w:r>
    </w:p>
    <w:p>
      <w:pPr>
        <w:spacing w:after="80" w:before="200"/>
      </w:pPr>
      <w:r>
        <w:rPr>
          <w:b/>
          <w:bCs/>
          <w:color w:val="1A1A1A"/>
          <w:sz w:val="22"/>
          <w:szCs w:val="22"/>
        </w:rPr>
        <w:t xml:space="preserve">4.3 Barrera del aval/fiador</w:t>
      </w:r>
    </w:p>
    <w:p>
      <w:pPr>
        <w:spacing w:after="160" w:line="300"/>
      </w:pPr>
      <w:r>
        <w:rPr>
          <w:color w:val="1A1A1A"/>
          <w:sz w:val="21"/>
          <w:szCs w:val="21"/>
        </w:rPr>
        <w:t xml:space="preserve">La mayoría de los contratos piden un aval o fiador con propiedad libre de gravamen registrada en el Registro Público de la Propiedad. Conseguir esa figura puede detener el proceso semanas, y es una barrera real para negocios nuevos o dueños sin una red de garantes disponible.</w:t>
      </w:r>
    </w:p>
    <w:p>
      <w:pPr>
        <w:spacing w:after="80" w:before="200"/>
      </w:pPr>
      <w:r>
        <w:rPr>
          <w:b/>
          <w:bCs/>
          <w:color w:val="1A1A1A"/>
          <w:sz w:val="22"/>
          <w:szCs w:val="22"/>
        </w:rPr>
        <w:t xml:space="preserve">4.4 Decidir a ciegas si la ubicación es viable</w:t>
      </w:r>
    </w:p>
    <w:p>
      <w:pPr>
        <w:spacing w:after="160" w:line="300"/>
      </w:pPr>
      <w:r>
        <w:rPr>
          <w:color w:val="1A1A1A"/>
          <w:sz w:val="21"/>
          <w:szCs w:val="21"/>
        </w:rPr>
        <w:t xml:space="preserve">El arrendatario no tiene forma fácil de saber cuánta competencia directa ya opera a unas cuadras, ni si el tráfico peatonal/consumo de la zona sostiene su tipo de negocio. Se firma el contrato primero y se descubre la realidad de la zona después.</w:t>
      </w:r>
    </w:p>
    <w:p>
      <w:pPr>
        <w:spacing w:after="80" w:before="200"/>
      </w:pPr>
      <w:r>
        <w:rPr>
          <w:b/>
          <w:bCs/>
          <w:color w:val="1A1A1A"/>
          <w:sz w:val="22"/>
          <w:szCs w:val="22"/>
        </w:rPr>
        <w:t xml:space="preserve">4.5 Rigidez contractual y costos ocultos de adecuación</w:t>
      </w:r>
    </w:p>
    <w:p>
      <w:pPr>
        <w:spacing w:after="160" w:line="300"/>
      </w:pPr>
      <w:r>
        <w:rPr>
          <w:color w:val="1A1A1A"/>
          <w:sz w:val="21"/>
          <w:szCs w:val="21"/>
        </w:rPr>
        <w:t xml:space="preserve">Plazos largos, cláusulas de exclusividad territorial poco claras, incrementos de renta no bien definidos, y falta de negociación sobre quién paga las adecuaciones del espacio (tenant improvements) aparecen de forma constante en discusiones de arrendatarios comerciales.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50"/>
      </w:tblGrid>
      <w:tr>
        <w:trPr>
          <w:tblHeader/>
        </w:trPr>
        <w:tc>
          <w:tcPr>
            <w:tcW w:type="dxa" w:w="3600"/>
            <w:shd w:fill="0B7A5B" w:color="auto" w:val="clear"/>
            <w:tcMar>
              <w:top w:type="dxa" w:w="80"/>
              <w:left w:type="dxa" w:w="100"/>
              <w:bottom w:type="dxa" w:w="80"/>
              <w:right w:type="dxa" w:w="100"/>
            </w:tcMar>
            <w:vAlign w:val="center"/>
          </w:tcPr>
          <w:p>
            <w:pPr>
              <w:jc w:val="left"/>
            </w:pPr>
            <w:r>
              <w:rPr>
                <w:b/>
                <w:bCs/>
                <w:color w:val="FFFFFF"/>
                <w:sz w:val="19"/>
                <w:szCs w:val="19"/>
              </w:rPr>
              <w:t xml:space="preserve">Pain point</w:t>
            </w:r>
          </w:p>
        </w:tc>
        <w:tc>
          <w:tcPr>
            <w:tcW w:type="dxa" w:w="3600"/>
            <w:shd w:fill="0B7A5B" w:color="auto" w:val="clear"/>
            <w:tcMar>
              <w:top w:type="dxa" w:w="80"/>
              <w:left w:type="dxa" w:w="100"/>
              <w:bottom w:type="dxa" w:w="80"/>
              <w:right w:type="dxa" w:w="100"/>
            </w:tcMar>
            <w:vAlign w:val="center"/>
          </w:tcPr>
          <w:p>
            <w:pPr>
              <w:jc w:val="left"/>
            </w:pPr>
            <w:r>
              <w:rPr>
                <w:b/>
                <w:bCs/>
                <w:color w:val="FFFFFF"/>
                <w:sz w:val="19"/>
                <w:szCs w:val="19"/>
              </w:rPr>
              <w:t xml:space="preserve">Evidencia / fuente</w:t>
            </w:r>
          </w:p>
        </w:tc>
        <w:tc>
          <w:tcPr>
            <w:tcW w:type="dxa" w:w="2150"/>
            <w:shd w:fill="0B7A5B" w:color="auto" w:val="clear"/>
            <w:tcMar>
              <w:top w:type="dxa" w:w="80"/>
              <w:left w:type="dxa" w:w="100"/>
              <w:bottom w:type="dxa" w:w="80"/>
              <w:right w:type="dxa" w:w="100"/>
            </w:tcMar>
            <w:vAlign w:val="center"/>
          </w:tcPr>
          <w:p>
            <w:pPr>
              <w:jc w:val="left"/>
            </w:pPr>
            <w:r>
              <w:rPr>
                <w:b/>
                <w:bCs/>
                <w:color w:val="FFFFFF"/>
                <w:sz w:val="19"/>
                <w:szCs w:val="19"/>
              </w:rPr>
              <w:t xml:space="preserve">Impacto</w:t>
            </w:r>
          </w:p>
        </w:tc>
      </w:tr>
      <w:tr>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Búsqueda lenta (3-6 meses promedio)</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Spot2 (benchmark de mercado MX)</w:t>
            </w:r>
          </w:p>
        </w:tc>
        <w:tc>
          <w:tcPr>
            <w:tcW w:type="dxa" w:w="2150"/>
            <w:tcMar>
              <w:top w:type="dxa" w:w="80"/>
              <w:left w:type="dxa" w:w="100"/>
              <w:bottom w:type="dxa" w:w="80"/>
              <w:right w:type="dxa" w:w="100"/>
            </w:tcMar>
            <w:vAlign w:val="center"/>
          </w:tcPr>
          <w:p>
            <w:pPr>
              <w:jc w:val="left"/>
            </w:pPr>
            <w:r>
              <w:rPr>
                <w:b w:val="false"/>
                <w:bCs w:val="false"/>
                <w:color w:val="1A1A1A"/>
                <w:sz w:val="19"/>
                <w:szCs w:val="19"/>
              </w:rPr>
              <w:t xml:space="preserve">Alto — costo de oportunidad y doble renta</w:t>
            </w:r>
          </w:p>
        </w:tc>
      </w:tr>
      <w:tr>
        <w:tc>
          <w:tcPr>
            <w:tcW w:type="dxa" w:w="360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Precio poco transparente (renta vs. traspaso vs. mantenimiento)</w:t>
            </w:r>
          </w:p>
        </w:tc>
        <w:tc>
          <w:tcPr>
            <w:tcW w:type="dxa" w:w="360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Blog Spot2 — obstáculo principal en búsquedas digitales</w:t>
            </w:r>
          </w:p>
        </w:tc>
        <w:tc>
          <w:tcPr>
            <w:tcW w:type="dxa" w:w="215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Alto — genera desconfianza y negociaciones fallidas</w:t>
            </w:r>
          </w:p>
        </w:tc>
      </w:tr>
      <w:tr>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Exigencia de aval/fiador con propiedad libre de gravamen</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Blog Spot2 — "diferencia entre aval y fiador"</w:t>
            </w:r>
          </w:p>
        </w:tc>
        <w:tc>
          <w:tcPr>
            <w:tcW w:type="dxa" w:w="2150"/>
            <w:tcMar>
              <w:top w:type="dxa" w:w="80"/>
              <w:left w:type="dxa" w:w="100"/>
              <w:bottom w:type="dxa" w:w="80"/>
              <w:right w:type="dxa" w:w="100"/>
            </w:tcMar>
            <w:vAlign w:val="center"/>
          </w:tcPr>
          <w:p>
            <w:pPr>
              <w:jc w:val="left"/>
            </w:pPr>
            <w:r>
              <w:rPr>
                <w:b w:val="false"/>
                <w:bCs w:val="false"/>
                <w:color w:val="1A1A1A"/>
                <w:sz w:val="19"/>
                <w:szCs w:val="19"/>
              </w:rPr>
              <w:t xml:space="preserve">Alto — barrera de entrada para negocios nuevos</w:t>
            </w:r>
          </w:p>
        </w:tc>
      </w:tr>
      <w:tr>
        <w:tc>
          <w:tcPr>
            <w:tcW w:type="dxa" w:w="360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Sin datos de competencia/tráfico antes de firmar</w:t>
            </w:r>
          </w:p>
        </w:tc>
        <w:tc>
          <w:tcPr>
            <w:tcW w:type="dxa" w:w="360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Vacío detectado en plataformas de listados actuales</w:t>
            </w:r>
          </w:p>
        </w:tc>
        <w:tc>
          <w:tcPr>
            <w:tcW w:type="dxa" w:w="2150"/>
            <w:shd w:fill="F2F7F5" w:color="auto" w:val="clear"/>
            <w:tcMar>
              <w:top w:type="dxa" w:w="80"/>
              <w:left w:type="dxa" w:w="100"/>
              <w:bottom w:type="dxa" w:w="80"/>
              <w:right w:type="dxa" w:w="100"/>
            </w:tcMar>
            <w:vAlign w:val="center"/>
          </w:tcPr>
          <w:p>
            <w:pPr>
              <w:jc w:val="left"/>
            </w:pPr>
            <w:r>
              <w:rPr>
                <w:b w:val="false"/>
                <w:bCs w:val="false"/>
                <w:color w:val="1A1A1A"/>
                <w:sz w:val="19"/>
                <w:szCs w:val="19"/>
              </w:rPr>
              <w:t xml:space="preserve">Alto — decisiones de ubicación mal informadas</w:t>
            </w:r>
          </w:p>
        </w:tc>
      </w:tr>
      <w:tr>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Rigidez de contrato y costos de adecuación no negociados</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Franchiselawyer.com — "10 Key Issues in Commercial Leases"; Century21 Northwest</w:t>
            </w:r>
          </w:p>
        </w:tc>
        <w:tc>
          <w:tcPr>
            <w:tcW w:type="dxa" w:w="2150"/>
            <w:tcMar>
              <w:top w:type="dxa" w:w="80"/>
              <w:left w:type="dxa" w:w="100"/>
              <w:bottom w:type="dxa" w:w="80"/>
              <w:right w:type="dxa" w:w="100"/>
            </w:tcMar>
            <w:vAlign w:val="center"/>
          </w:tcPr>
          <w:p>
            <w:pPr>
              <w:jc w:val="left"/>
            </w:pPr>
            <w:r>
              <w:rPr>
                <w:b w:val="false"/>
                <w:bCs w:val="false"/>
                <w:color w:val="1A1A1A"/>
                <w:sz w:val="19"/>
                <w:szCs w:val="19"/>
              </w:rPr>
              <w:t xml:space="preserve">Medio — fricción en cierre y disputas post-firma</w:t>
            </w:r>
          </w:p>
        </w:tc>
      </w:tr>
    </w:tbl>
    <w:p>
      <w:pPr>
        <w:spacing w:after="240"/>
      </w:pPr>
      <w:r>
        <w:rPr>
          <w:i/>
          <w:iCs/>
          <w:color w:val="5A5A5A"/>
          <w:sz w:val="17"/>
          <w:szCs w:val="17"/>
        </w:rPr>
        <w:t xml:space="preserve">Fuentes: Spot2.mx (blog "Requisitos para rentar un local", "Diferencia entre aval y fiador", "Mejores plataformas para rentar locales comerciales"); Franchiselawyer.com; Century21 Northwest Realty; Melvin Mark Companies; Bisnow — control de renta comercial y complejidad de contratos.</w:t>
      </w:r>
    </w:p>
    <w:p>
      <w:pPr>
        <w:pStyle w:val="Heading1"/>
        <w:pBdr>
          <w:bottom w:val="single" w:color="0B7A5B" w:sz="6" w:space="4"/>
        </w:pBdr>
        <w:spacing w:after="160" w:before="360"/>
      </w:pPr>
      <w:r>
        <w:rPr>
          <w:b/>
          <w:bCs/>
          <w:color w:val="1A1A1A"/>
          <w:sz w:val="30"/>
          <w:szCs w:val="30"/>
        </w:rPr>
        <w:t xml:space="preserve">5. Cómo se conecta esto con LocalIQ</w:t>
      </w:r>
    </w:p>
    <w:p>
      <w:pPr>
        <w:spacing w:after="160" w:line="300"/>
      </w:pPr>
      <w:r>
        <w:rPr>
          <w:color w:val="1A1A1A"/>
          <w:sz w:val="21"/>
          <w:szCs w:val="21"/>
        </w:rPr>
        <w:t xml:space="preserve">LocalIQ hoy registra propiedades con metadata detallada y ofrece, en el plan Pro, competidores en un radio de 2km y análisis de tendencias de consumo con recomendaciones de IA, además de reportes descargables. Cruzando esto con los pain points encontrados:</w:t>
      </w:r>
    </w:p>
    <w:p>
      <w:pPr>
        <w:pStyle w:val="ListParagraph"/>
        <w:numPr>
          <w:ilvl w:val="0"/>
          <w:numId w:val="2"/>
        </w:numPr>
        <w:spacing w:after="100" w:line="290"/>
      </w:pPr>
      <w:r>
        <w:rPr>
          <w:b/>
          <w:bCs/>
          <w:color w:val="1A1A1A"/>
          <w:sz w:val="21"/>
          <w:szCs w:val="21"/>
        </w:rPr>
        <w:t xml:space="preserve">Competidores en 2km + tendencias de consumo (ya construido): </w:t>
      </w:r>
      <w:r>
        <w:rPr>
          <w:color w:val="1A1A1A"/>
          <w:sz w:val="21"/>
          <w:szCs w:val="21"/>
        </w:rPr>
        <w:t xml:space="preserve"> Es exactamente el hueco que ambos lados sienten hoy: ni el arrendador sabe qué negocio conviene, ni el arrendatario sabe si el lugar tiene demanda. Esta es la feature que debe ser el corazón del pitch, no un extra de un plan superior.</w:t>
      </w:r>
    </w:p>
    <w:p>
      <w:pPr>
        <w:pStyle w:val="ListParagraph"/>
        <w:numPr>
          <w:ilvl w:val="0"/>
          <w:numId w:val="2"/>
        </w:numPr>
        <w:spacing w:after="100" w:line="290"/>
      </w:pPr>
      <w:r>
        <w:rPr>
          <w:b/>
          <w:bCs/>
          <w:color w:val="1A1A1A"/>
          <w:sz w:val="21"/>
          <w:szCs w:val="21"/>
        </w:rPr>
        <w:t xml:space="preserve">Registro detallado de propiedad (ya construido): </w:t>
      </w:r>
      <w:r>
        <w:rPr>
          <w:color w:val="1A1A1A"/>
          <w:sz w:val="21"/>
          <w:szCs w:val="21"/>
        </w:rPr>
        <w:t xml:space="preserve"> El formulario de registro multi-paso (ubicación, características, detalles) ya captura buena metadata, lo que ataca directamente el problema de "catálogos de mala calidad" que Spot2 identificó como una de las razones por las que nació.</w:t>
      </w:r>
    </w:p>
    <w:p>
      <w:pPr>
        <w:pStyle w:val="ListParagraph"/>
        <w:numPr>
          <w:ilvl w:val="0"/>
          <w:numId w:val="2"/>
        </w:numPr>
        <w:spacing w:after="100" w:line="290"/>
      </w:pPr>
      <w:r>
        <w:rPr>
          <w:b/>
          <w:bCs/>
          <w:color w:val="1A1A1A"/>
          <w:sz w:val="21"/>
          <w:szCs w:val="21"/>
        </w:rPr>
        <w:t xml:space="preserve">Falta un campo explícito de "traspaso" separado de renta y mantenimiento: </w:t>
      </w:r>
      <w:r>
        <w:rPr>
          <w:color w:val="1A1A1A"/>
          <w:sz w:val="21"/>
          <w:szCs w:val="21"/>
        </w:rPr>
        <w:t xml:space="preserve"> Es el pain point de transparencia de precio (renta vs. traspaso vs. mantenimiento) más citado del lado arrendatario. Revisar si el formulario separa con claridad estos tres conceptos; si no, es un ajuste barato con alto impacto en confianza.</w:t>
      </w:r>
    </w:p>
    <w:p>
      <w:pPr>
        <w:pStyle w:val="ListParagraph"/>
        <w:numPr>
          <w:ilvl w:val="0"/>
          <w:numId w:val="2"/>
        </w:numPr>
        <w:spacing w:after="100" w:line="290"/>
      </w:pPr>
      <w:r>
        <w:rPr>
          <w:b/>
          <w:bCs/>
          <w:color w:val="1A1A1A"/>
          <w:sz w:val="21"/>
          <w:szCs w:val="21"/>
        </w:rPr>
        <w:t xml:space="preserve">Vetting de inquilino / alternativas a aval-fiador (no existe): </w:t>
      </w:r>
      <w:r>
        <w:rPr>
          <w:color w:val="1A1A1A"/>
          <w:sz w:val="21"/>
          <w:szCs w:val="21"/>
        </w:rPr>
        <w:t xml:space="preserve"> No hay nada hoy que ayude al arrendador a evaluar si un prospecto de inquilino es solvente, ni nada que ayude al arrendatario con la barrera del aval/fiador. Es la brecha más grande frente al dolor de "riesgo de impago" e "impago" mencionado en ambos foros y notas legales.</w:t>
      </w:r>
    </w:p>
    <w:p>
      <w:pPr>
        <w:pStyle w:val="ListParagraph"/>
        <w:numPr>
          <w:ilvl w:val="0"/>
          <w:numId w:val="2"/>
        </w:numPr>
        <w:spacing w:after="100" w:line="290"/>
      </w:pPr>
      <w:r>
        <w:rPr>
          <w:b/>
          <w:bCs/>
          <w:color w:val="1A1A1A"/>
          <w:sz w:val="21"/>
          <w:szCs w:val="21"/>
        </w:rPr>
        <w:t xml:space="preserve">Persistencia de registros (pendiente, TODO conocido): </w:t>
      </w:r>
      <w:r>
        <w:rPr>
          <w:color w:val="1A1A1A"/>
          <w:sz w:val="21"/>
          <w:szCs w:val="21"/>
        </w:rPr>
        <w:t xml:space="preserve"> El TODO de persistencia en backend (línea 176 de LocalIQ.tsx) bloquea que cualquiera de las features anteriores funcione en producción — es el prerequisito técnico antes de vender cualquier diferenciador de datos.</w:t>
      </w:r>
    </w:p>
    <w:p>
      <w:pPr>
        <w:pStyle w:val="Heading1"/>
        <w:pBdr>
          <w:bottom w:val="single" w:color="0B7A5B" w:sz="6" w:space="4"/>
        </w:pBdr>
        <w:spacing w:after="160" w:before="360"/>
      </w:pPr>
      <w:r>
        <w:rPr>
          <w:b/>
          <w:bCs/>
          <w:color w:val="1A1A1A"/>
          <w:sz w:val="30"/>
          <w:szCs w:val="30"/>
        </w:rPr>
        <w:t xml:space="preserve">6. Recomendaciones priorizadas para el MVP</w:t>
      </w:r>
    </w:p>
    <w:p>
      <w:pPr>
        <w:spacing w:after="80" w:before="200"/>
      </w:pPr>
      <w:r>
        <w:rPr>
          <w:b/>
          <w:bCs/>
          <w:color w:val="1A1A1A"/>
          <w:sz w:val="22"/>
          <w:szCs w:val="22"/>
        </w:rPr>
        <w:t xml:space="preserve">Ahora (bloqueantes de lanzamiento)</w:t>
      </w:r>
    </w:p>
    <w:p>
      <w:pPr>
        <w:pStyle w:val="ListParagraph"/>
        <w:numPr>
          <w:ilvl w:val="0"/>
          <w:numId w:val="2"/>
        </w:numPr>
        <w:spacing w:after="100" w:line="290"/>
      </w:pPr>
      <w:r>
        <w:rPr>
          <w:b/>
          <w:bCs/>
          <w:color w:val="1A1A1A"/>
          <w:sz w:val="21"/>
          <w:szCs w:val="21"/>
        </w:rPr>
        <w:t xml:space="preserve">Cerrar la persistencia backend del registro de propiedades: </w:t>
      </w:r>
      <w:r>
        <w:rPr>
          <w:color w:val="1A1A1A"/>
          <w:sz w:val="21"/>
          <w:szCs w:val="21"/>
        </w:rPr>
        <w:t xml:space="preserve"> sin esto ninguna otra feature es real para el usuario.</w:t>
      </w:r>
    </w:p>
    <w:p>
      <w:pPr>
        <w:pStyle w:val="ListParagraph"/>
        <w:numPr>
          <w:ilvl w:val="0"/>
          <w:numId w:val="2"/>
        </w:numPr>
        <w:spacing w:after="100" w:line="290"/>
      </w:pPr>
      <w:r>
        <w:rPr>
          <w:b/>
          <w:bCs/>
          <w:color w:val="1A1A1A"/>
          <w:sz w:val="21"/>
          <w:szCs w:val="21"/>
        </w:rPr>
        <w:t xml:space="preserve">Separar en el formulario los campos renta, traspaso y mantenimiento como conceptos distintos y visibles: </w:t>
      </w:r>
      <w:r>
        <w:rPr>
          <w:color w:val="1A1A1A"/>
          <w:sz w:val="21"/>
          <w:szCs w:val="21"/>
        </w:rPr>
        <w:t xml:space="preserve"> para no perder confianza en el primer contacto con el producto.</w:t>
      </w:r>
    </w:p>
    <w:p>
      <w:pPr>
        <w:spacing w:after="80" w:before="200"/>
      </w:pPr>
      <w:r>
        <w:rPr>
          <w:b/>
          <w:bCs/>
          <w:color w:val="1A1A1A"/>
          <w:sz w:val="22"/>
          <w:szCs w:val="22"/>
        </w:rPr>
        <w:t xml:space="preserve">Corto plazo (diferenciador principal)</w:t>
      </w:r>
    </w:p>
    <w:p>
      <w:pPr>
        <w:pStyle w:val="ListParagraph"/>
        <w:numPr>
          <w:ilvl w:val="0"/>
          <w:numId w:val="2"/>
        </w:numPr>
        <w:spacing w:after="100" w:line="290"/>
      </w:pPr>
      <w:r>
        <w:rPr>
          <w:b/>
          <w:bCs/>
          <w:color w:val="1A1A1A"/>
          <w:sz w:val="21"/>
          <w:szCs w:val="21"/>
        </w:rPr>
        <w:t xml:space="preserve">Pulir y promover el módulo de competidores 2km + tendencias de consumo como eje del producto: </w:t>
      </w:r>
      <w:r>
        <w:rPr>
          <w:color w:val="1A1A1A"/>
          <w:sz w:val="21"/>
          <w:szCs w:val="21"/>
        </w:rPr>
        <w:t xml:space="preserve"> convertirlo en el argumento central de ventas: "sabe qué negocio funciona en esta zona antes de firmar", tanto para quien renta como para quien busca.</w:t>
      </w:r>
    </w:p>
    <w:p>
      <w:pPr>
        <w:pStyle w:val="ListParagraph"/>
        <w:numPr>
          <w:ilvl w:val="0"/>
          <w:numId w:val="2"/>
        </w:numPr>
        <w:spacing w:after="100" w:line="290"/>
      </w:pPr>
      <w:r>
        <w:rPr>
          <w:b/>
          <w:bCs/>
          <w:color w:val="1A1A1A"/>
          <w:sz w:val="21"/>
          <w:szCs w:val="21"/>
        </w:rPr>
        <w:t xml:space="preserve">Agregar un indicador de "viabilidad de zona" resumido, no solo el listado de competidores: </w:t>
      </w:r>
      <w:r>
        <w:rPr>
          <w:color w:val="1A1A1A"/>
          <w:sz w:val="21"/>
          <w:szCs w:val="21"/>
        </w:rPr>
        <w:t xml:space="preserve"> un score simple (alto/medio/bajo tráfico esperado, saturación de giro) es más accionable que una lista de negocios cercanos.</w:t>
      </w:r>
    </w:p>
    <w:p>
      <w:pPr>
        <w:spacing w:after="80" w:before="200"/>
      </w:pPr>
      <w:r>
        <w:rPr>
          <w:b/>
          <w:bCs/>
          <w:color w:val="1A1A1A"/>
          <w:sz w:val="22"/>
          <w:szCs w:val="22"/>
        </w:rPr>
        <w:t xml:space="preserve">Mediano plazo (cierra la brecha de confianza)</w:t>
      </w:r>
    </w:p>
    <w:p>
      <w:pPr>
        <w:pStyle w:val="ListParagraph"/>
        <w:numPr>
          <w:ilvl w:val="0"/>
          <w:numId w:val="2"/>
        </w:numPr>
        <w:spacing w:after="100" w:line="290"/>
      </w:pPr>
      <w:r>
        <w:rPr>
          <w:b/>
          <w:bCs/>
          <w:color w:val="1A1A1A"/>
          <w:sz w:val="21"/>
          <w:szCs w:val="21"/>
        </w:rPr>
        <w:t xml:space="preserve">Explorar un módulo ligero de verificación/reputación de arrendatario: </w:t>
      </w:r>
      <w:r>
        <w:rPr>
          <w:color w:val="1A1A1A"/>
          <w:sz w:val="21"/>
          <w:szCs w:val="21"/>
        </w:rPr>
        <w:t xml:space="preserve"> para reducir el riesgo de impago del lado arrendador y ofrecer alternativas al aval/fiador tradicional del lado arrendatario (p. ej. fianza líquida o verificación de historial de negocio).</w:t>
      </w:r>
    </w:p>
    <w:p>
      <w:pPr>
        <w:pStyle w:val="ListParagraph"/>
        <w:numPr>
          <w:ilvl w:val="0"/>
          <w:numId w:val="2"/>
        </w:numPr>
        <w:spacing w:after="100" w:line="290"/>
      </w:pPr>
      <w:r>
        <w:rPr>
          <w:b/>
          <w:bCs/>
          <w:color w:val="1A1A1A"/>
          <w:sz w:val="21"/>
          <w:szCs w:val="21"/>
        </w:rPr>
        <w:t xml:space="preserve">Medir y mostrar tiempo promedio de renta como métrica del producto: </w:t>
      </w:r>
      <w:r>
        <w:rPr>
          <w:color w:val="1A1A1A"/>
          <w:sz w:val="21"/>
          <w:szCs w:val="21"/>
        </w:rPr>
        <w:t xml:space="preserve"> mostrar en el reporte cuánto tarda en promedio rentarse un local similar, para que el propietario entienda el valor de tener mejores datos y mejor exposición.</w:t>
      </w:r>
    </w:p>
    <w:p>
      <w:pPr>
        <w:pStyle w:val="Heading1"/>
        <w:pBdr>
          <w:bottom w:val="single" w:color="0B7A5B" w:sz="6" w:space="4"/>
        </w:pBdr>
        <w:spacing w:after="160" w:before="360"/>
      </w:pPr>
      <w:r>
        <w:rPr>
          <w:b/>
          <w:bCs/>
          <w:color w:val="1A1A1A"/>
          <w:sz w:val="30"/>
          <w:szCs w:val="30"/>
        </w:rPr>
        <w:t xml:space="preserve">7. Nota sobre la competencia (Spot2)</w:t>
      </w:r>
    </w:p>
    <w:p>
      <w:pPr>
        <w:spacing w:after="160" w:line="300"/>
      </w:pPr>
      <w:r>
        <w:rPr>
          <w:color w:val="1A1A1A"/>
          <w:sz w:val="21"/>
          <w:szCs w:val="21"/>
        </w:rPr>
        <w:t xml:space="preserve">Spot2 es hoy el jugador de referencia en proptech comercial en México, con clientes como OXXO, Starbucks y Farmacias YZA, y una promesa de renta en menos de 10 días frente al promedio de mercado de 3 a 6 meses. Su enfoque es principalmente marketplace B2B y velocidad de proceso para cuentas grandes. LocalIQ puede diferenciarse compitiendo por el otro extremo: negocios pequeños y locales independientes que hoy no tienen acceso a datos de zona, y para quienes la decisión no es solo "encontrar un local rápido" sino "encontrar el local correcto".</w:t>
      </w:r>
    </w:p>
    <w:p>
      <w:pPr>
        <w:pStyle w:val="Heading1"/>
        <w:pBdr>
          <w:bottom w:val="single" w:color="0B7A5B" w:sz="6" w:space="4"/>
        </w:pBdr>
        <w:spacing w:after="160" w:before="360"/>
      </w:pPr>
      <w:r>
        <w:rPr>
          <w:b/>
          <w:bCs/>
          <w:color w:val="1A1A1A"/>
          <w:sz w:val="30"/>
          <w:szCs w:val="30"/>
        </w:rPr>
        <w:t xml:space="preserve">8. Conclusión</w:t>
      </w:r>
    </w:p>
    <w:p>
      <w:pPr>
        <w:spacing w:after="160" w:line="300"/>
      </w:pPr>
      <w:r>
        <w:rPr>
          <w:color w:val="1A1A1A"/>
          <w:sz w:val="21"/>
          <w:szCs w:val="21"/>
        </w:rPr>
        <w:t xml:space="preserve">El dolor más grande de ambos lados del mercado es el mismo: decidir sin datos. LocalIQ ya tiene construida la pieza que resuelve eso (competidores + tendencias de consumo). El camino más corto a un MVP defendible es: cerrar la persistencia de backend, arreglar la transparencia de precio en el formulario, y después invertir todo el esfuerzo de producto en hacer que el módulo de datos de zona sea imposible de ignorar — ese es el diferenciador frente a Spot2 y frente a cualquier tablón de anuncios genérico.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2026-07-11T20:42:33.220Z</dcterms:created>
  <dcterms:modified xsi:type="dcterms:W3CDTF">2026-07-11T20:42:33.221Z</dcterms:modified>
</cp:coreProperties>
</file>

<file path=docProps/custom.xml><?xml version="1.0" encoding="utf-8"?>
<Properties xmlns="http://schemas.openxmlformats.org/officeDocument/2006/custom-properties" xmlns:vt="http://schemas.openxmlformats.org/officeDocument/2006/docPropsVTypes"/>
</file>