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 xml:space="preserve">Bits of precision needed to determine area of 2D </w:t>
      </w:r>
      <w:proofErr w:type="gramStart"/>
      <w:r>
        <w:rPr>
          <w:rFonts w:eastAsiaTheme="minorEastAsia"/>
          <w:lang w:val="en-US"/>
        </w:rPr>
        <w:t>triangle</w:t>
      </w:r>
      <w:proofErr w:type="gramEnd"/>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4165F7">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4165F7">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 xml:space="preserve">From here-on, we’ll ignore the absolute value and halving, because we most care about the sign bits (as it is the triangle formed by an edge of the triangle we’re trying to </w:t>
      </w:r>
      <w:proofErr w:type="gramStart"/>
      <w:r>
        <w:rPr>
          <w:rFonts w:eastAsiaTheme="minorEastAsia"/>
          <w:lang w:val="en-US"/>
        </w:rPr>
        <w:t>rasterize</w:t>
      </w:r>
      <w:proofErr w:type="gramEnd"/>
      <w:r>
        <w:rPr>
          <w:rFonts w:eastAsiaTheme="minorEastAsia"/>
          <w:lang w:val="en-US"/>
        </w:rPr>
        <w:t xml:space="preserv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4165F7">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proofErr w:type="gramStart"/>
      <w:r>
        <w:rPr>
          <w:rFonts w:eastAsiaTheme="minorEastAsia"/>
          <w:lang w:val="en-US"/>
        </w:rPr>
        <w:t>r</w:t>
      </w:r>
      <w:r w:rsidRPr="000A78E1">
        <w:rPr>
          <w:rFonts w:eastAsiaTheme="minorEastAsia"/>
          <w:lang w:val="en-US"/>
        </w:rPr>
        <w:t>equires</w:t>
      </w:r>
      <w:proofErr w:type="gramEnd"/>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4165F7"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4165F7"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4165F7"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4165F7"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4165F7"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4165F7"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4165F7"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4165F7"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4165F7"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4165F7"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proofErr w:type="gramStart"/>
      <w:r w:rsidR="001C52C7">
        <w:rPr>
          <w:rFonts w:eastAsiaTheme="minorEastAsia"/>
          <w:lang w:val="en-US"/>
        </w:rPr>
        <w:t>So</w:t>
      </w:r>
      <w:proofErr w:type="gramEnd"/>
      <w:r w:rsidR="001C52C7">
        <w:rPr>
          <w:rFonts w:eastAsiaTheme="minorEastAsia"/>
          <w:lang w:val="en-US"/>
        </w:rPr>
        <w:t xml:space="preserve">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proofErr w:type="gramStart"/>
      <w:r>
        <w:rPr>
          <w:rFonts w:eastAsiaTheme="minorEastAsia"/>
          <w:lang w:val="en-US"/>
        </w:rPr>
        <w:t>So</w:t>
      </w:r>
      <w:proofErr w:type="gramEnd"/>
      <w:r>
        <w:rPr>
          <w:rFonts w:eastAsiaTheme="minorEastAsia"/>
          <w:lang w:val="en-US"/>
        </w:rPr>
        <w:t xml:space="preserve"> with 64 bits, we could support 31 bit inputs. Suppose for a moment our inputs are </w:t>
      </w:r>
      <w:proofErr w:type="gramStart"/>
      <w:r>
        <w:rPr>
          <w:rFonts w:eastAsiaTheme="minorEastAsia"/>
          <w:lang w:val="en-US"/>
        </w:rPr>
        <w:t>4 bit</w:t>
      </w:r>
      <w:proofErr w:type="gramEnd"/>
      <w:r>
        <w:rPr>
          <w:rFonts w:eastAsiaTheme="minorEastAsia"/>
          <w:lang w:val="en-US"/>
        </w:rPr>
        <w:t xml:space="preserve">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w:t>
      </w:r>
      <w:proofErr w:type="gramStart"/>
      <w:r>
        <w:rPr>
          <w:rFonts w:eastAsiaTheme="minorEastAsia"/>
          <w:lang w:val="en-US"/>
        </w:rPr>
        <w:t>it..</w:t>
      </w:r>
      <w:proofErr w:type="gramEnd"/>
      <w:r>
        <w:rPr>
          <w:rFonts w:eastAsiaTheme="minorEastAsia"/>
          <w:lang w:val="en-US"/>
        </w:rPr>
        <w: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4165F7"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4165F7"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4165F7"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proofErr w:type="gramStart"/>
      <w:r>
        <w:rPr>
          <w:rFonts w:eastAsiaTheme="minorEastAsia"/>
          <w:lang w:val="en-US"/>
        </w:rPr>
        <w:t>So</w:t>
      </w:r>
      <w:proofErr w:type="gramEnd"/>
      <w:r>
        <w:rPr>
          <w:rFonts w:eastAsiaTheme="minorEastAsia"/>
          <w:lang w:val="en-US"/>
        </w:rPr>
        <w:t xml:space="preserve">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4165F7"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4165F7"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w:t>
      </w:r>
      <w:proofErr w:type="gramStart"/>
      <w:r>
        <w:rPr>
          <w:rFonts w:eastAsiaTheme="minorEastAsia"/>
          <w:lang w:val="en-US"/>
        </w:rPr>
        <w:t>all of</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4165F7"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4165F7"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4165F7"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4165F7"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4165F7"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proofErr w:type="gramStart"/>
      <w:r>
        <w:rPr>
          <w:rFonts w:eastAsiaTheme="minorEastAsia"/>
          <w:lang w:val="en-US"/>
        </w:rPr>
        <w:t>So</w:t>
      </w:r>
      <w:proofErr w:type="gramEnd"/>
      <w:r>
        <w:rPr>
          <w:rFonts w:eastAsiaTheme="minorEastAsia"/>
          <w:lang w:val="en-US"/>
        </w:rPr>
        <w:t xml:space="preserve">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4165F7"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w:t>
      </w:r>
      <w:proofErr w:type="gramStart"/>
      <w:r>
        <w:rPr>
          <w:rFonts w:eastAsiaTheme="minorEastAsia"/>
          <w:lang w:val="en-US"/>
        </w:rPr>
        <w:t>actually the</w:t>
      </w:r>
      <w:proofErr w:type="gramEnd"/>
      <w:r>
        <w:rPr>
          <w:rFonts w:eastAsiaTheme="minorEastAsia"/>
          <w:lang w:val="en-US"/>
        </w:rPr>
        <w:t xml:space="preserve"> z-buffer value, as we’re interpolating it over the triangle.</w:t>
      </w:r>
      <w:r w:rsidR="003121EE">
        <w:rPr>
          <w:rFonts w:eastAsiaTheme="minorEastAsia"/>
          <w:lang w:val="en-US"/>
        </w:rPr>
        <w:t xml:space="preserve"> Given that that </w:t>
      </w:r>
      <w:proofErr w:type="spellStart"/>
      <w:r w:rsidR="003121EE">
        <w:rPr>
          <w:rFonts w:eastAsiaTheme="minorEastAsia"/>
          <w:lang w:val="en-US"/>
        </w:rPr>
        <w:t>z-buffer</w:t>
      </w:r>
      <w:proofErr w:type="spellEnd"/>
      <w:r w:rsidR="003121EE">
        <w:rPr>
          <w:rFonts w:eastAsiaTheme="minorEastAsia"/>
          <w:lang w:val="en-US"/>
        </w:rPr>
        <w:t xml:space="preserve">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w:t>
      </w:r>
      <w:proofErr w:type="gramStart"/>
      <w:r>
        <w:rPr>
          <w:rFonts w:eastAsiaTheme="minorEastAsia"/>
          <w:lang w:val="en-US"/>
        </w:rPr>
        <w:t>separate</w:t>
      </w:r>
      <w:proofErr w:type="gramEnd"/>
      <w:r>
        <w:rPr>
          <w:rFonts w:eastAsiaTheme="minorEastAsia"/>
          <w:lang w:val="en-US"/>
        </w:rPr>
        <w:t xml:space="preserv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Show how the barycentric coordinates can be used to interpolate the Z-buffer value at each of the three vertices 0, 1 and 2, across the triangle. Given that this is a multiplication followed by a division by the triangle’s overall determinant, deduce a “DDA-</w:t>
      </w:r>
      <w:proofErr w:type="spellStart"/>
      <w:r>
        <w:rPr>
          <w:rFonts w:eastAsiaTheme="minorEastAsia"/>
          <w:lang w:val="en-US"/>
        </w:rPr>
        <w:t>ish</w:t>
      </w:r>
      <w:proofErr w:type="spellEnd"/>
      <w:r>
        <w:rPr>
          <w:rFonts w:eastAsiaTheme="minorEastAsia"/>
          <w:lang w:val="en-US"/>
        </w:rPr>
        <w:t>” or “</w:t>
      </w:r>
      <w:proofErr w:type="spellStart"/>
      <w:r>
        <w:rPr>
          <w:rFonts w:eastAsiaTheme="minorEastAsia"/>
          <w:lang w:val="en-US"/>
        </w:rPr>
        <w:t>Bresenham-ish</w:t>
      </w:r>
      <w:proofErr w:type="spellEnd"/>
      <w:r>
        <w:rPr>
          <w:rFonts w:eastAsiaTheme="minorEastAsia"/>
          <w:lang w:val="en-US"/>
        </w:rPr>
        <w:t xml:space="preserve">” way of doing the same </w:t>
      </w:r>
      <w:r>
        <w:rPr>
          <w:rFonts w:eastAsiaTheme="minorEastAsia"/>
          <w:lang w:val="en-US"/>
        </w:rPr>
        <w:lastRenderedPageBreak/>
        <w:t xml:space="preserve">thing, but without a division, or a one-over-determinant multiplication (that </w:t>
      </w:r>
      <w:proofErr w:type="spellStart"/>
      <w:proofErr w:type="gramStart"/>
      <w:r>
        <w:rPr>
          <w:rFonts w:eastAsiaTheme="minorEastAsia"/>
          <w:lang w:val="en-US"/>
        </w:rPr>
        <w:t>looses</w:t>
      </w:r>
      <w:proofErr w:type="spellEnd"/>
      <w:proofErr w:type="gramEnd"/>
      <w:r>
        <w:rPr>
          <w:rFonts w:eastAsiaTheme="minorEastAsia"/>
          <w:lang w:val="en-US"/>
        </w:rPr>
        <w:t xml:space="preserve">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 xml:space="preserve">Stepping the </w:t>
      </w:r>
      <w:proofErr w:type="spellStart"/>
      <w:r>
        <w:rPr>
          <w:rFonts w:eastAsiaTheme="minorEastAsia"/>
          <w:lang w:val="en-US"/>
        </w:rPr>
        <w:t>z-buffer</w:t>
      </w:r>
      <w:proofErr w:type="spellEnd"/>
      <w:r>
        <w:rPr>
          <w:rFonts w:eastAsiaTheme="minorEastAsia"/>
          <w:lang w:val="en-US"/>
        </w:rPr>
        <w:t xml:space="preserve"> value</w:t>
      </w:r>
    </w:p>
    <w:p w14:paraId="0E83F7D7" w14:textId="19C3C50A" w:rsidR="0070579E" w:rsidRDefault="0070579E" w:rsidP="0070579E">
      <w:pPr>
        <w:rPr>
          <w:lang w:val="en-US"/>
        </w:rPr>
      </w:pPr>
      <w:r>
        <w:rPr>
          <w:lang w:val="en-US"/>
        </w:rPr>
        <w:t xml:space="preserve">The </w:t>
      </w:r>
      <w:proofErr w:type="spellStart"/>
      <w:r>
        <w:rPr>
          <w:lang w:val="en-US"/>
        </w:rPr>
        <w:t>z-buffer</w:t>
      </w:r>
      <w:proofErr w:type="spellEnd"/>
      <w:r>
        <w:rPr>
          <w:lang w:val="en-US"/>
        </w:rPr>
        <w:t xml:space="preserve"> value is different from varying attributes. One, it is already in </w:t>
      </w:r>
      <w:proofErr w:type="spellStart"/>
      <w:r>
        <w:rPr>
          <w:lang w:val="en-US"/>
        </w:rPr>
        <w:t>screenspace</w:t>
      </w:r>
      <w:proofErr w:type="spellEnd"/>
      <w:r>
        <w:rPr>
          <w:lang w:val="en-US"/>
        </w:rPr>
        <w:t xml:space="preserve"> whereas the other varying attributes are not (therefore no division is needed, we can interpolate linearly), and the other is the </w:t>
      </w:r>
      <w:proofErr w:type="spellStart"/>
      <w:r>
        <w:rPr>
          <w:lang w:val="en-US"/>
        </w:rPr>
        <w:t>z-buffer</w:t>
      </w:r>
      <w:proofErr w:type="spellEnd"/>
      <w:r>
        <w:rPr>
          <w:lang w:val="en-US"/>
        </w:rPr>
        <w:t xml:space="preserve"> contains integer values, not floating point. Consequently, we treat it completely differently and use it for early rejection (avoiding division.) Note however that, if any one of the four bundled fragments </w:t>
      </w:r>
      <w:proofErr w:type="gramStart"/>
      <w:r>
        <w:rPr>
          <w:lang w:val="en-US"/>
        </w:rPr>
        <w:t>pass</w:t>
      </w:r>
      <w:proofErr w:type="gramEnd"/>
      <w:r>
        <w:rPr>
          <w:lang w:val="en-US"/>
        </w:rPr>
        <w:t xml:space="preserve"> the </w:t>
      </w:r>
      <w:proofErr w:type="spellStart"/>
      <w:r>
        <w:rPr>
          <w:lang w:val="en-US"/>
        </w:rPr>
        <w:t>z-buffer</w:t>
      </w:r>
      <w:proofErr w:type="spellEnd"/>
      <w:r>
        <w:rPr>
          <w:lang w:val="en-US"/>
        </w:rPr>
        <w:t xml:space="preserve"> test, then the others need to enter the fragment shader as well (otherwise no </w:t>
      </w:r>
      <w:proofErr w:type="spellStart"/>
      <w:r>
        <w:rPr>
          <w:lang w:val="en-US"/>
        </w:rPr>
        <w:t>mip</w:t>
      </w:r>
      <w:proofErr w:type="spellEnd"/>
      <w:r>
        <w:rPr>
          <w:lang w:val="en-US"/>
        </w:rPr>
        <w:t>-mapping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w:t>
      </w:r>
      <w:proofErr w:type="spellStart"/>
      <w:r>
        <w:rPr>
          <w:rFonts w:eastAsiaTheme="minorEastAsia"/>
          <w:lang w:val="en-US"/>
        </w:rPr>
        <w:t>z-buffer</w:t>
      </w:r>
      <w:proofErr w:type="spellEnd"/>
      <w:r>
        <w:rPr>
          <w:rFonts w:eastAsiaTheme="minorEastAsia"/>
          <w:lang w:val="en-US"/>
        </w:rPr>
        <w:t xml:space="preserve">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4165F7"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w:t>
      </w:r>
      <w:proofErr w:type="spellStart"/>
      <w:r>
        <w:rPr>
          <w:rFonts w:eastAsiaTheme="minorEastAsia"/>
          <w:lang w:val="en-US"/>
        </w:rPr>
        <w:t>z-buffer</w:t>
      </w:r>
      <w:proofErr w:type="spellEnd"/>
      <w:r>
        <w:rPr>
          <w:rFonts w:eastAsiaTheme="minorEastAsia"/>
          <w:lang w:val="en-US"/>
        </w:rPr>
        <w:t xml:space="preserve">,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4165F7"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4165F7"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w:t>
      </w:r>
      <w:proofErr w:type="spellStart"/>
      <w:r>
        <w:rPr>
          <w:rFonts w:eastAsiaTheme="minorEastAsia"/>
          <w:lang w:val="en-US"/>
        </w:rPr>
        <w:t>Bresenham</w:t>
      </w:r>
      <w:proofErr w:type="spellEnd"/>
      <w:r>
        <w:rPr>
          <w:rFonts w:eastAsiaTheme="minorEastAsia"/>
          <w:lang w:val="en-US"/>
        </w:rPr>
        <w:t>-like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4165F7"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4165F7"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4165F7"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4165F7"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4165F7">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4165F7">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4165F7">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4165F7">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4165F7">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4165F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4165F7">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26FF1422" w:rsidR="004165F7" w:rsidRPr="003B3312" w:rsidRDefault="004165F7">
      <w:pPr>
        <w:rPr>
          <w:rFonts w:eastAsiaTheme="minorEastAsia"/>
          <w:iC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ctrlPr>
                <w:rPr>
                  <w:rFonts w:ascii="Cambria Math" w:eastAsiaTheme="minorEastAsia" w:hAnsi="Cambria Math"/>
                  <w:i/>
                  <w:lang w:val="en-US"/>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012</m:t>
                  </m:r>
                </m:sub>
              </m:sSub>
              <m:ctrlPr>
                <w:rPr>
                  <w:rFonts w:ascii="Cambria Math" w:eastAsiaTheme="minorEastAsia" w:hAnsi="Cambria Math"/>
                  <w:i/>
                </w:rPr>
              </m:ctrlPr>
            </m:den>
          </m:f>
        </m:oMath>
      </m:oMathPara>
    </w:p>
    <w:p w14:paraId="11A7E6DA" w14:textId="77777777" w:rsidR="003B3312" w:rsidRPr="003B3312" w:rsidRDefault="003B3312">
      <w:pPr>
        <w:rPr>
          <w:rFonts w:eastAsiaTheme="minorEastAsia"/>
          <w:iCs/>
          <w:lang w:val="en-US"/>
        </w:rPr>
      </w:pPr>
    </w:p>
    <w:sectPr w:rsidR="003B3312" w:rsidRPr="003B3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55"/>
    <w:rsid w:val="000A78E1"/>
    <w:rsid w:val="000D0510"/>
    <w:rsid w:val="000F1176"/>
    <w:rsid w:val="00150455"/>
    <w:rsid w:val="001C52C7"/>
    <w:rsid w:val="001F2C48"/>
    <w:rsid w:val="002725BC"/>
    <w:rsid w:val="003121EE"/>
    <w:rsid w:val="003A00B4"/>
    <w:rsid w:val="003B3312"/>
    <w:rsid w:val="004165F7"/>
    <w:rsid w:val="005007CA"/>
    <w:rsid w:val="0058176A"/>
    <w:rsid w:val="00694728"/>
    <w:rsid w:val="006D048E"/>
    <w:rsid w:val="0070579E"/>
    <w:rsid w:val="0074763A"/>
    <w:rsid w:val="007B2287"/>
    <w:rsid w:val="00855630"/>
    <w:rsid w:val="00857555"/>
    <w:rsid w:val="008A1A71"/>
    <w:rsid w:val="008F5A9A"/>
    <w:rsid w:val="0098356E"/>
    <w:rsid w:val="00991A31"/>
    <w:rsid w:val="00A3780F"/>
    <w:rsid w:val="00A46C2D"/>
    <w:rsid w:val="00A6700F"/>
    <w:rsid w:val="00B12C3C"/>
    <w:rsid w:val="00BC2C85"/>
    <w:rsid w:val="00C271F2"/>
    <w:rsid w:val="00CB5691"/>
    <w:rsid w:val="00D44910"/>
    <w:rsid w:val="00E00D5B"/>
    <w:rsid w:val="00E17F0B"/>
    <w:rsid w:val="00E83B4F"/>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chartTrackingRefBased/>
  <w15:docId w15:val="{FC87DC09-F3FA-47EF-9FDD-8894F1FD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10490</TotalTime>
  <Pages>6</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6</cp:revision>
  <dcterms:created xsi:type="dcterms:W3CDTF">2023-12-01T07:48:00Z</dcterms:created>
  <dcterms:modified xsi:type="dcterms:W3CDTF">2023-12-09T19:44:00Z</dcterms:modified>
</cp:coreProperties>
</file>