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32"/>
        </w:rPr>
        <w:t>SAUDI NATIONAL BANK</w:t>
      </w:r>
    </w:p>
    <w:p>
      <w:pPr>
        <w:jc w:val="center"/>
      </w:pPr>
      <w:r>
        <w:rPr>
          <w:b/>
          <w:sz w:val="28"/>
        </w:rPr>
        <w:t>FRAUD INVESTIGATION CASE REPORT</w:t>
      </w:r>
    </w:p>
    <w:p>
      <w:r>
        <w:t>________________________________________________________________________________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Case ID:</w:t>
            </w:r>
          </w:p>
        </w:tc>
        <w:tc>
          <w:tcPr>
            <w:tcW w:type="dxa" w:w="4320"/>
          </w:tcPr>
          <w:p>
            <w:r>
              <w:t>CASE_SA-TXN-0000000002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Transaction ID:</w:t>
            </w:r>
          </w:p>
        </w:tc>
        <w:tc>
          <w:tcPr>
            <w:tcW w:type="dxa" w:w="4320"/>
          </w:tcPr>
          <w:p>
            <w:r>
              <w:t>SA-TXN-0000000002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ID:</w:t>
            </w:r>
          </w:p>
        </w:tc>
        <w:tc>
          <w:tcPr>
            <w:tcW w:type="dxa" w:w="4320"/>
          </w:tcPr>
          <w:p>
            <w:r>
              <w:t>SA00000014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Case Status:</w:t>
            </w:r>
          </w:p>
        </w:tc>
        <w:tc>
          <w:tcPr>
            <w:tcW w:type="dxa" w:w="4320"/>
          </w:tcPr>
          <w:p>
            <w:r>
              <w:t>SUSPECTED_FRAUD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Priority Level: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2025-10-04 23:52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1. EXECUTIVE SUMMARY</w:t>
      </w:r>
    </w:p>
    <w:p/>
    <w:p>
      <w:r>
        <w:t>Final Classification: SUSPICIOUS</w:t>
        <w:br/>
        <w:t>Confidence Level: 70%</w:t>
        <w:br/>
        <w:t>Transaction Amount: 56,343.88 SAR</w:t>
        <w:br/>
        <w:br/>
        <w:t>Summary:</w:t>
        <w:br/>
        <w:t>Significant suspicious activity. Enhanced monitoring recommended.</w:t>
      </w:r>
    </w:p>
    <w:p/>
    <w:p>
      <w:r>
        <w:rPr>
          <w:rFonts w:ascii="Arial" w:hAnsi="Arial"/>
          <w:b/>
          <w:color w:val="0066CC"/>
          <w:sz w:val="24"/>
        </w:rPr>
        <w:t>2. TRANSACTION DETAILS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Transaction ID</w:t>
            </w:r>
          </w:p>
        </w:tc>
        <w:tc>
          <w:tcPr>
            <w:tcW w:type="dxa" w:w="4320"/>
          </w:tcPr>
          <w:p>
            <w:r>
              <w:t>SA-TXN-0000000002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</w:t>
            </w:r>
          </w:p>
        </w:tc>
        <w:tc>
          <w:tcPr>
            <w:tcW w:type="dxa" w:w="4320"/>
          </w:tcPr>
          <w:p>
            <w:r>
              <w:t>SA00000014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Name</w:t>
            </w:r>
          </w:p>
        </w:tc>
        <w:tc>
          <w:tcPr>
            <w:tcW w:type="dxa" w:w="4320"/>
          </w:tcPr>
          <w:p>
            <w:r>
              <w:t>Noura Abdullah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 &amp; Time</w:t>
            </w:r>
          </w:p>
        </w:tc>
        <w:tc>
          <w:tcPr>
            <w:tcW w:type="dxa" w:w="4320"/>
          </w:tcPr>
          <w:p>
            <w:r>
              <w:t>2025-09-30 22:58:59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</w:t>
            </w:r>
          </w:p>
        </w:tc>
        <w:tc>
          <w:tcPr>
            <w:tcW w:type="dxa" w:w="4320"/>
          </w:tcPr>
          <w:p>
            <w:r>
              <w:t>56,343.88 SAR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</w:t>
            </w:r>
          </w:p>
        </w:tc>
        <w:tc>
          <w:tcPr>
            <w:tcW w:type="dxa" w:w="4320"/>
          </w:tcPr>
          <w:p>
            <w:r>
              <w:t>Bandar Mohammed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Bank</w:t>
            </w:r>
          </w:p>
        </w:tc>
        <w:tc>
          <w:tcPr>
            <w:tcW w:type="dxa" w:w="4320"/>
          </w:tcPr>
          <w:p>
            <w:r>
              <w:t>Miller-Carter Bank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Country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Type</w:t>
            </w:r>
          </w:p>
        </w:tc>
        <w:tc>
          <w:tcPr>
            <w:tcW w:type="dxa" w:w="4320"/>
          </w:tcPr>
          <w:p>
            <w:r>
              <w:t>International Wire Transfer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Purpose</w:t>
            </w:r>
          </w:p>
        </w:tc>
        <w:tc>
          <w:tcPr>
            <w:tcW w:type="dxa" w:w="4320"/>
          </w:tcPr>
          <w:p>
            <w:r>
              <w:t>Medical Treatment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ML Fraud Score</w:t>
            </w:r>
          </w:p>
        </w:tc>
        <w:tc>
          <w:tcPr>
            <w:tcW w:type="dxa" w:w="4320"/>
          </w:tcPr>
          <w:p>
            <w:r>
              <w:t>0.190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Nationality</w:t>
            </w:r>
          </w:p>
        </w:tc>
        <w:tc>
          <w:tcPr>
            <w:tcW w:type="dxa" w:w="4320"/>
          </w:tcPr>
          <w:p>
            <w:r>
              <w:t>Saudi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SAMA AML Flag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3. CUSTOMER INFORMATION</w:t>
      </w:r>
    </w:p>
    <w:p/>
    <w:p>
      <w:r>
        <w:t>Profile Summary: Customer since 2016-03-17, Risk Level: Low, KYC: Verified</w:t>
      </w:r>
    </w:p>
    <w:p>
      <w:r>
        <w:t>Login Activity: 10 recent logins from 4 countries: UAE, Saudi Arabia, Germany</w:t>
      </w:r>
    </w:p>
    <w:p>
      <w:r>
        <w:t>Device Information: No device data available</w:t>
      </w:r>
    </w:p>
    <w:p/>
    <w:p>
      <w:r>
        <w:rPr>
          <w:rFonts w:ascii="Arial" w:hAnsi="Arial"/>
          <w:b/>
          <w:color w:val="0066CC"/>
          <w:sz w:val="24"/>
        </w:rPr>
        <w:t>4. RISK ASSESSMENT &amp; CLASSIFICATION</w:t>
      </w:r>
    </w:p>
    <w:p/>
    <w:p>
      <w:r>
        <w:t>Initial Classification: FLAGGED</w:t>
      </w:r>
    </w:p>
    <w:p>
      <w:r>
        <w:t>Confidence: 70%</w:t>
        <w:br/>
      </w:r>
    </w:p>
    <w:p>
      <w:pPr>
        <w:pStyle w:val="ListBullet"/>
      </w:pPr>
      <w:r>
        <w:t>Risk Factors Identified:</w:t>
      </w:r>
    </w:p>
    <w:p>
      <w:r>
        <w:br/>
        <w:t>Behavioral Analysis:</w:t>
      </w:r>
    </w:p>
    <w:p>
      <w:r>
        <w:t>• Profile Risk: UNKNOWN</w:t>
      </w:r>
    </w:p>
    <w:p>
      <w:r>
        <w:t>• Login Risk: HIGH</w:t>
      </w:r>
    </w:p>
    <w:p>
      <w:r>
        <w:t>• Device Risk: UNKNOWN</w:t>
      </w:r>
    </w:p>
    <w:p/>
    <w:p>
      <w:r>
        <w:rPr>
          <w:rFonts w:ascii="Arial" w:hAnsi="Arial"/>
          <w:b/>
          <w:color w:val="0066CC"/>
          <w:sz w:val="24"/>
        </w:rPr>
        <w:t>5. INVESTIGATION FINDINGS</w:t>
      </w:r>
    </w:p>
    <w:p/>
    <w:p>
      <w:pPr>
        <w:pStyle w:val="ListBullet"/>
      </w:pPr>
      <w:r>
        <w:t>Data Sources Analyzed:</w:t>
      </w:r>
    </w:p>
    <w:p>
      <w:pPr>
        <w:pStyle w:val="ListBullet2"/>
      </w:pPr>
      <w:r>
        <w:t>Transaction</w:t>
      </w:r>
    </w:p>
    <w:p>
      <w:pPr>
        <w:pStyle w:val="ListBullet2"/>
      </w:pPr>
      <w:r>
        <w:t>Customer Profile</w:t>
      </w:r>
    </w:p>
    <w:p>
      <w:pPr>
        <w:pStyle w:val="ListBullet2"/>
      </w:pPr>
      <w:r>
        <w:t>Login History</w:t>
      </w:r>
    </w:p>
    <w:p>
      <w:pPr>
        <w:pStyle w:val="ListBullet2"/>
      </w:pPr>
      <w:r>
        <w:t>Device Fingerprints</w:t>
      </w:r>
    </w:p>
    <w:p>
      <w:r>
        <w:br/>
        <w:t>Detailed Analysis:</w:t>
      </w:r>
    </w:p>
    <w:p>
      <w:r>
        <w:t>The transaction is HIGH risk due to the unusually large amount, and the multiple login countries indicate a possible attempt to mask geographical locations or avoid detection. The high login frequency also suggests an organized effort to circumvent security measures.</w:t>
        <w:br/>
        <w:br/>
        <w:t xml:space="preserve">Recommendation: </w:t>
        <w:br/>
        <w:t xml:space="preserve">Deny this transaction based on the identified anomalies, as it poses a significant threat to account security and may be indicative of fraudulent activity. </w:t>
        <w:br/>
        <w:br/>
        <w:t>High-risk indicators:</w:t>
        <w:br/>
        <w:t>- High login frequency</w:t>
        <w:br/>
        <w:t>- Multiple login countries</w:t>
        <w:br/>
        <w:t>- Unusually large transaction amount</w:t>
        <w:br/>
        <w:t>- Failed login attempts detected</w:t>
        <w:br/>
        <w:br/>
        <w:t>Low-risk indicators:</w:t>
        <w:br/>
        <w:t>- Customer has completed KYC verification</w:t>
        <w:br/>
        <w:t>- No previous history of fraud reported</w:t>
        <w:br/>
        <w:br/>
        <w:t>Note: The assessment of risk and recommendation are based on general guidelines and may vary depending on specific policies and procedures of the financial institution.</w:t>
      </w:r>
    </w:p>
    <w:p/>
    <w:p>
      <w:pPr>
        <w:pStyle w:val="ListBullet"/>
      </w:pPr>
      <w:r>
        <w:t>Behavioral Anomalies Detected:</w:t>
      </w:r>
    </w:p>
    <w:p>
      <w:pPr>
        <w:pStyle w:val="ListBullet2"/>
      </w:pPr>
      <w:r>
        <w:t>Transaction amount 56343.88 is 8.2x above average</w:t>
      </w:r>
    </w:p>
    <w:p>
      <w:pPr>
        <w:pStyle w:val="ListBullet2"/>
      </w:pPr>
      <w:r>
        <w:t>Multiple login countries: UAE, Saudi Arabia, Germany, Bahrain</w:t>
      </w:r>
    </w:p>
    <w:p>
      <w:pPr>
        <w:pStyle w:val="ListBullet2"/>
      </w:pPr>
      <w:r>
        <w:t>3 failed login attempts detected</w:t>
      </w:r>
    </w:p>
    <w:p/>
    <w:p>
      <w:r>
        <w:rPr>
          <w:rFonts w:ascii="Arial" w:hAnsi="Arial"/>
          <w:b/>
          <w:color w:val="0066CC"/>
          <w:sz w:val="24"/>
        </w:rPr>
        <w:t>6. SAMA COMPLIANCE &amp; AML REQUIREMENTS</w:t>
      </w:r>
    </w:p>
    <w:p/>
    <w:p>
      <w:r>
        <w:t>SAMA AML/CFT Compliance Check:</w:t>
        <w:br/>
      </w:r>
    </w:p>
    <w:p>
      <w:r>
        <w:t>✓ Large Transaction Reporting: Amount 56,343.88 SAR exceeds SAMA threshold of 20,000 SAR</w:t>
      </w:r>
    </w:p>
    <w:p>
      <w:r>
        <w:t>✓ Suspicious Activity Report (SAR): Case requires filing with SAMA FIU</w:t>
      </w:r>
    </w:p>
    <w:p>
      <w:r>
        <w:br/>
        <w:t>Regulatory Framework:</w:t>
        <w:br/>
        <w:t>• Anti-Money Laundering Law (Royal Decree No. M/31)</w:t>
        <w:br/>
        <w:t>• SAMA AML/CFT Rules 2018</w:t>
        <w:br/>
        <w:t>• FATF Recommendations Compliance</w:t>
      </w:r>
    </w:p>
    <w:p/>
    <w:p>
      <w:r>
        <w:rPr>
          <w:rFonts w:ascii="Arial" w:hAnsi="Arial"/>
          <w:b/>
          <w:color w:val="0066CC"/>
          <w:sz w:val="24"/>
        </w:rPr>
        <w:t>7. RECOMMENDED ACTIONS</w:t>
      </w:r>
    </w:p>
    <w:p/>
    <w:p>
      <w:pPr>
        <w:pStyle w:val="ListBullet"/>
      </w:pPr>
      <w:r>
        <w:t>Immediate Actions Required:</w:t>
        <w:br/>
      </w:r>
    </w:p>
    <w:p>
      <w:pPr>
        <w:pStyle w:val="ListBullet2"/>
      </w:pPr>
      <w:r>
        <w:t>1. Place temporary hold on account</w:t>
      </w:r>
    </w:p>
    <w:p>
      <w:pPr>
        <w:pStyle w:val="ListBullet2"/>
      </w:pPr>
      <w:r>
        <w:t>2. Request additional customer verification</w:t>
      </w:r>
    </w:p>
    <w:p>
      <w:pPr>
        <w:pStyle w:val="ListBullet2"/>
      </w:pPr>
      <w:r>
        <w:t>3. Monitor account closely for 48 hours</w:t>
      </w:r>
    </w:p>
    <w:p>
      <w:pPr>
        <w:pStyle w:val="ListBullet2"/>
      </w:pPr>
      <w:r>
        <w:t>4. Review with fraud specialist</w:t>
      </w:r>
    </w:p>
    <w:p/>
    <w:p>
      <w:r>
        <w:rPr>
          <w:rFonts w:ascii="Arial" w:hAnsi="Arial"/>
          <w:b/>
          <w:color w:val="0066CC"/>
          <w:sz w:val="24"/>
        </w:rPr>
        <w:t>8. APPROVALS &amp; SIGN-OFF</w:t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Signature &amp; Date</w:t>
            </w:r>
          </w:p>
        </w:tc>
      </w:tr>
      <w:tr>
        <w:tc>
          <w:tcPr>
            <w:tcW w:type="dxa" w:w="2880"/>
          </w:tcPr>
          <w:p>
            <w:r>
              <w:t>Fraud Analyst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Team Manager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Compliance Officer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r>
        <w:t>________________________________________________________________________________</w:t>
      </w:r>
    </w:p>
    <w:p>
      <w:pPr>
        <w:jc w:val="center"/>
      </w:pPr>
      <w:r>
        <w:rPr>
          <w:i/>
          <w:sz w:val="16"/>
        </w:rPr>
        <w:t>CONFIDENTIAL - Saudi National Bank - Fraud Investigation Report</w:t>
        <w:br/>
        <w:t>Generated: 2025-10-04 23:52:08</w:t>
        <w:br/>
        <w:t>This document contains confidential information and is subject to SAMA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rFonts w:ascii="Arial" w:hAnsi="Arial"/>
      <w:b/>
      <w:color w:val="003366"/>
      <w:sz w:val="36"/>
    </w:rPr>
  </w:style>
  <w:style w:type="paragraph" w:customStyle="1" w:styleId="CustomHeading">
    <w:name w:val="CustomHeading"/>
    <w:rPr>
      <w:rFonts w:ascii="Arial" w:hAnsi="Arial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