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3366"/>
          <w:sz w:val="32"/>
        </w:rPr>
        <w:t>SAUDI NATIONAL BANK</w:t>
      </w:r>
    </w:p>
    <w:p>
      <w:pPr>
        <w:jc w:val="center"/>
      </w:pPr>
      <w:r>
        <w:rPr>
          <w:b/>
          <w:sz w:val="28"/>
        </w:rPr>
        <w:t>FRAUD INVESTIGATION CASE REPORT</w:t>
      </w:r>
    </w:p>
    <w:p>
      <w:r>
        <w:t>________________________________________________________________________________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Case ID:</w:t>
            </w:r>
          </w:p>
        </w:tc>
        <w:tc>
          <w:tcPr>
            <w:tcW w:type="dxa" w:w="4320"/>
          </w:tcPr>
          <w:p>
            <w:r>
              <w:t>CASE_SA-TXN-0000000006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Transaction ID:</w:t>
            </w:r>
          </w:p>
        </w:tc>
        <w:tc>
          <w:tcPr>
            <w:tcW w:type="dxa" w:w="4320"/>
          </w:tcPr>
          <w:p>
            <w:r>
              <w:t>SA-TXN-0000000006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ID:</w:t>
            </w:r>
          </w:p>
        </w:tc>
        <w:tc>
          <w:tcPr>
            <w:tcW w:type="dxa" w:w="4320"/>
          </w:tcPr>
          <w:p>
            <w:r>
              <w:t>SA00000468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Case Status:</w:t>
            </w:r>
          </w:p>
        </w:tc>
        <w:tc>
          <w:tcPr>
            <w:tcW w:type="dxa" w:w="4320"/>
          </w:tcPr>
          <w:p>
            <w:r>
              <w:t>SUSPECTED_FRAUD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Priority Level: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Report Date:</w:t>
            </w:r>
          </w:p>
        </w:tc>
        <w:tc>
          <w:tcPr>
            <w:tcW w:type="dxa" w:w="4320"/>
          </w:tcPr>
          <w:p>
            <w:r>
              <w:t>2025-10-05 00:06</w:t>
            </w:r>
          </w:p>
        </w:tc>
      </w:tr>
    </w:tbl>
    <w:p/>
    <w:p>
      <w:r>
        <w:rPr>
          <w:rFonts w:ascii="Arial" w:hAnsi="Arial"/>
          <w:b/>
          <w:color w:val="0066CC"/>
          <w:sz w:val="24"/>
        </w:rPr>
        <w:t>1. EXECUTIVE SUMMARY</w:t>
      </w:r>
    </w:p>
    <w:p/>
    <w:p>
      <w:r>
        <w:t>Final Classification: SUSPICIOUS</w:t>
        <w:br/>
        <w:t>Confidence Level: 70%</w:t>
        <w:br/>
        <w:t>Transaction Amount: 94,319.52 SAR</w:t>
        <w:br/>
        <w:br/>
        <w:t>Summary:</w:t>
        <w:br/>
        <w:t>Significant suspicious activity. Enhanced monitoring recommended.</w:t>
      </w:r>
    </w:p>
    <w:p/>
    <w:p>
      <w:r>
        <w:rPr>
          <w:rFonts w:ascii="Arial" w:hAnsi="Arial"/>
          <w:b/>
          <w:color w:val="0066CC"/>
          <w:sz w:val="24"/>
        </w:rPr>
        <w:t>2. TRANSACTION DETAILS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Transaction ID</w:t>
            </w:r>
          </w:p>
        </w:tc>
        <w:tc>
          <w:tcPr>
            <w:tcW w:type="dxa" w:w="4320"/>
          </w:tcPr>
          <w:p>
            <w:r>
              <w:t>SA-TXN-0000000006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ID</w:t>
            </w:r>
          </w:p>
        </w:tc>
        <w:tc>
          <w:tcPr>
            <w:tcW w:type="dxa" w:w="4320"/>
          </w:tcPr>
          <w:p>
            <w:r>
              <w:t>SA00000468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Name</w:t>
            </w:r>
          </w:p>
        </w:tc>
        <w:tc>
          <w:tcPr>
            <w:tcW w:type="dxa" w:w="4320"/>
          </w:tcPr>
          <w:p>
            <w:r>
              <w:t>Khalid Ibrahim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Date &amp; Time</w:t>
            </w:r>
          </w:p>
        </w:tc>
        <w:tc>
          <w:tcPr>
            <w:tcW w:type="dxa" w:w="4320"/>
          </w:tcPr>
          <w:p>
            <w:r>
              <w:t>2025-09-27 19:30:59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Amount</w:t>
            </w:r>
          </w:p>
        </w:tc>
        <w:tc>
          <w:tcPr>
            <w:tcW w:type="dxa" w:w="4320"/>
          </w:tcPr>
          <w:p>
            <w:r>
              <w:t>94,319.52 SAR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Beneficiary</w:t>
            </w:r>
          </w:p>
        </w:tc>
        <w:tc>
          <w:tcPr>
            <w:tcW w:type="dxa" w:w="4320"/>
          </w:tcPr>
          <w:p>
            <w:r>
              <w:t>Reem Ibrahim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Beneficiary Bank</w:t>
            </w:r>
          </w:p>
        </w:tc>
        <w:tc>
          <w:tcPr>
            <w:tcW w:type="dxa" w:w="4320"/>
          </w:tcPr>
          <w:p>
            <w:r>
              <w:t>Burns-Rodriguez Bank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Beneficiary Country</w:t>
            </w:r>
          </w:p>
        </w:tc>
        <w:tc>
          <w:tcPr>
            <w:tcW w:type="dxa" w:w="4320"/>
          </w:tcPr>
          <w:p>
            <w:r>
              <w:t>Bahrain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Transfer Type</w:t>
            </w:r>
          </w:p>
        </w:tc>
        <w:tc>
          <w:tcPr>
            <w:tcW w:type="dxa" w:w="4320"/>
          </w:tcPr>
          <w:p>
            <w:r>
              <w:t>International Wire Transfer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Transfer Purpose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ML Fraud Score</w:t>
            </w:r>
          </w:p>
        </w:tc>
        <w:tc>
          <w:tcPr>
            <w:tcW w:type="dxa" w:w="4320"/>
          </w:tcPr>
          <w:p>
            <w:r>
              <w:t>0.292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Nationality</w:t>
            </w:r>
          </w:p>
        </w:tc>
        <w:tc>
          <w:tcPr>
            <w:tcW w:type="dxa" w:w="4320"/>
          </w:tcPr>
          <w:p>
            <w:r>
              <w:t>Expatriate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SAMA AML Flag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/>
    <w:p>
      <w:r>
        <w:rPr>
          <w:rFonts w:ascii="Arial" w:hAnsi="Arial"/>
          <w:b/>
          <w:color w:val="0066CC"/>
          <w:sz w:val="24"/>
        </w:rPr>
        <w:t>3. CUSTOMER INFORMATION</w:t>
      </w:r>
    </w:p>
    <w:p/>
    <w:p>
      <w:r>
        <w:t>Profile Summary: Customer since 2025-05-29, Risk Level: Low, KYC: Verified</w:t>
      </w:r>
    </w:p>
    <w:p>
      <w:r>
        <w:t>Login Activity: No recent login data</w:t>
      </w:r>
    </w:p>
    <w:p>
      <w:r>
        <w:t>Device Information: No device data available</w:t>
      </w:r>
    </w:p>
    <w:p/>
    <w:p>
      <w:r>
        <w:rPr>
          <w:rFonts w:ascii="Arial" w:hAnsi="Arial"/>
          <w:b/>
          <w:color w:val="0066CC"/>
          <w:sz w:val="24"/>
        </w:rPr>
        <w:t>4. RISK ASSESSMENT &amp; CLASSIFICATION</w:t>
      </w:r>
    </w:p>
    <w:p/>
    <w:p>
      <w:r>
        <w:t>Initial Classification: FLAGGED</w:t>
      </w:r>
    </w:p>
    <w:p>
      <w:r>
        <w:t>Confidence: 70%</w:t>
        <w:br/>
      </w:r>
    </w:p>
    <w:p>
      <w:pPr>
        <w:pStyle w:val="ListBullet"/>
      </w:pPr>
      <w:r>
        <w:t>Risk Factors Identified:</w:t>
      </w:r>
    </w:p>
    <w:p>
      <w:r>
        <w:br/>
        <w:t>Behavioral Analysis:</w:t>
      </w:r>
    </w:p>
    <w:p>
      <w:r>
        <w:t>• Profile Risk: UNKNOWN</w:t>
      </w:r>
    </w:p>
    <w:p>
      <w:r>
        <w:t>• Login Risk: UNKNOWN</w:t>
      </w:r>
    </w:p>
    <w:p>
      <w:r>
        <w:t>• Device Risk: UNKNOWN</w:t>
      </w:r>
    </w:p>
    <w:p/>
    <w:p>
      <w:r>
        <w:rPr>
          <w:rFonts w:ascii="Arial" w:hAnsi="Arial"/>
          <w:b/>
          <w:color w:val="0066CC"/>
          <w:sz w:val="24"/>
        </w:rPr>
        <w:t>5. INVESTIGATION FINDINGS</w:t>
      </w:r>
    </w:p>
    <w:p/>
    <w:p>
      <w:pPr>
        <w:pStyle w:val="ListBullet"/>
      </w:pPr>
      <w:r>
        <w:t>Data Sources Analyzed:</w:t>
      </w:r>
    </w:p>
    <w:p>
      <w:pPr>
        <w:pStyle w:val="ListBullet2"/>
      </w:pPr>
      <w:r>
        <w:t>Transaction</w:t>
      </w:r>
    </w:p>
    <w:p>
      <w:pPr>
        <w:pStyle w:val="ListBullet2"/>
      </w:pPr>
      <w:r>
        <w:t>Customer Profile</w:t>
      </w:r>
    </w:p>
    <w:p>
      <w:pPr>
        <w:pStyle w:val="ListBullet2"/>
      </w:pPr>
      <w:r>
        <w:t>Login History</w:t>
      </w:r>
    </w:p>
    <w:p>
      <w:pPr>
        <w:pStyle w:val="ListBullet2"/>
      </w:pPr>
      <w:r>
        <w:t>Device Fingerprints</w:t>
      </w:r>
    </w:p>
    <w:p>
      <w:r>
        <w:br/>
        <w:t>Detailed Analysis:</w:t>
      </w:r>
    </w:p>
    <w:p>
      <w:r>
        <w:t>**High Risk**: This customer has a history of previous fraudulent activities and the transaction amount exceeds their average by 39.6 times, indicating a high level of potential risk.</w:t>
        <w:br/>
        <w:br/>
        <w:t xml:space="preserve">Recommendation: </w:t>
        <w:br/>
        <w:t xml:space="preserve">**Do Not Process**: Due to the high risk associated with this transaction, it is recommended not to process the payment until further investigation or additional information is provided to mitigate this risk. </w:t>
        <w:br/>
        <w:br/>
        <w:t>Additional Notes:</w:t>
        <w:br/>
        <w:t>*   The customer's account status shows they are 128 days old, which may indicate an inactive account.</w:t>
        <w:br/>
        <w:t>*   Their KYC (Know Your Customer) status is confirmed as true, suggesting some level of verification was completed during onboarding.</w:t>
        <w:br/>
        <w:t>*   There have been no recent logins from the customer, which could suggest they may be using the account without active usage.</w:t>
        <w:br/>
        <w:t>*   The customer has been flagged for previous fraud cases, adding to the overall risk assessment.</w:t>
      </w:r>
    </w:p>
    <w:p/>
    <w:p>
      <w:pPr>
        <w:pStyle w:val="ListBullet"/>
      </w:pPr>
      <w:r>
        <w:t>Behavioral Anomalies Detected:</w:t>
      </w:r>
    </w:p>
    <w:p>
      <w:pPr>
        <w:pStyle w:val="ListBullet2"/>
      </w:pPr>
      <w:r>
        <w:t>Previous fraud cases: 1</w:t>
      </w:r>
    </w:p>
    <w:p>
      <w:pPr>
        <w:pStyle w:val="ListBullet2"/>
      </w:pPr>
      <w:r>
        <w:t>Transaction amount 94319.52 is 39.6x above average</w:t>
      </w:r>
    </w:p>
    <w:p/>
    <w:p>
      <w:r>
        <w:rPr>
          <w:rFonts w:ascii="Arial" w:hAnsi="Arial"/>
          <w:b/>
          <w:color w:val="0066CC"/>
          <w:sz w:val="24"/>
        </w:rPr>
        <w:t>6. SAMA COMPLIANCE &amp; AML REQUIREMENTS</w:t>
      </w:r>
    </w:p>
    <w:p/>
    <w:p>
      <w:r>
        <w:t>SAMA AML/CFT Compliance Check:</w:t>
        <w:br/>
      </w:r>
    </w:p>
    <w:p>
      <w:r>
        <w:t>✓ Large Transaction Reporting: Amount 94,319.52 SAR exceeds SAMA threshold of 20,000 SAR</w:t>
      </w:r>
    </w:p>
    <w:p>
      <w:r>
        <w:t>✓ Suspicious Activity Report (SAR): Case requires filing with SAMA FIU</w:t>
      </w:r>
    </w:p>
    <w:p>
      <w:r>
        <w:br/>
        <w:t>Regulatory Framework:</w:t>
        <w:br/>
        <w:t>• Anti-Money Laundering Law (Royal Decree No. M/31)</w:t>
        <w:br/>
        <w:t>• SAMA AML/CFT Rules 2018</w:t>
        <w:br/>
        <w:t>• FATF Recommendations Compliance</w:t>
      </w:r>
    </w:p>
    <w:p/>
    <w:p>
      <w:r>
        <w:rPr>
          <w:rFonts w:ascii="Arial" w:hAnsi="Arial"/>
          <w:b/>
          <w:color w:val="0066CC"/>
          <w:sz w:val="24"/>
        </w:rPr>
        <w:t>7. RECOMMENDED ACTIONS</w:t>
      </w:r>
    </w:p>
    <w:p/>
    <w:p>
      <w:pPr>
        <w:pStyle w:val="ListBullet"/>
      </w:pPr>
      <w:r>
        <w:t>Immediate Actions Required:</w:t>
        <w:br/>
      </w:r>
    </w:p>
    <w:p>
      <w:pPr>
        <w:pStyle w:val="ListBullet2"/>
      </w:pPr>
      <w:r>
        <w:t>1. Place temporary hold on account</w:t>
      </w:r>
    </w:p>
    <w:p>
      <w:pPr>
        <w:pStyle w:val="ListBullet2"/>
      </w:pPr>
      <w:r>
        <w:t>2. Request additional customer verification</w:t>
      </w:r>
    </w:p>
    <w:p>
      <w:pPr>
        <w:pStyle w:val="ListBullet2"/>
      </w:pPr>
      <w:r>
        <w:t>3. Monitor account closely for 48 hours</w:t>
      </w:r>
    </w:p>
    <w:p>
      <w:pPr>
        <w:pStyle w:val="ListBullet2"/>
      </w:pPr>
      <w:r>
        <w:t>4. Review with fraud specialist</w:t>
      </w:r>
    </w:p>
    <w:p/>
    <w:p>
      <w:r>
        <w:rPr>
          <w:rFonts w:ascii="Arial" w:hAnsi="Arial"/>
          <w:b/>
          <w:color w:val="0066CC"/>
          <w:sz w:val="24"/>
        </w:rPr>
        <w:t>8. APPROVALS &amp; SIGN-OFF</w:t>
      </w:r>
    </w:p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Role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Signature &amp; Date</w:t>
            </w:r>
          </w:p>
        </w:tc>
      </w:tr>
      <w:tr>
        <w:tc>
          <w:tcPr>
            <w:tcW w:type="dxa" w:w="2880"/>
          </w:tcPr>
          <w:p>
            <w:r>
              <w:t>Fraud Analyst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Team Manager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Compliance Officer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p>
      <w:r>
        <w:t>________________________________________________________________________________</w:t>
      </w:r>
    </w:p>
    <w:p>
      <w:pPr>
        <w:jc w:val="center"/>
      </w:pPr>
      <w:r>
        <w:rPr>
          <w:i/>
          <w:sz w:val="16"/>
        </w:rPr>
        <w:t>CONFIDENTIAL - Saudi National Bank - Fraud Investigation Report</w:t>
        <w:br/>
        <w:t>Generated: 2025-10-05 00:06:58</w:t>
        <w:br/>
        <w:t>This document contains confidential information and is subject to SAMA regulations.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rPr>
      <w:rFonts w:ascii="Arial" w:hAnsi="Arial"/>
      <w:b/>
      <w:color w:val="003366"/>
      <w:sz w:val="36"/>
    </w:rPr>
  </w:style>
  <w:style w:type="paragraph" w:customStyle="1" w:styleId="CustomHeading">
    <w:name w:val="CustomHeading"/>
    <w:rPr>
      <w:rFonts w:ascii="Arial" w:hAnsi="Arial"/>
      <w:b/>
      <w:color w:val="0066CC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