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CASE_SA-TXN-0000000007</w:t>
            </w:r>
          </w:p>
        </w:tc>
      </w:tr>
      <w:tr>
        <w:tc>
          <w:tcPr>
            <w:tcW w:type="dxa" w:w="4320"/>
          </w:tcPr>
          <w:p>
            <w:r>
              <w:rPr>
                <w:b/>
              </w:rPr>
              <w:t>Transaction ID:</w:t>
            </w:r>
          </w:p>
        </w:tc>
        <w:tc>
          <w:tcPr>
            <w:tcW w:type="dxa" w:w="4320"/>
          </w:tcPr>
          <w:p>
            <w:r>
              <w:t>SA-TXN-0000000007</w:t>
            </w:r>
          </w:p>
        </w:tc>
      </w:tr>
      <w:tr>
        <w:tc>
          <w:tcPr>
            <w:tcW w:type="dxa" w:w="4320"/>
          </w:tcPr>
          <w:p>
            <w:r>
              <w:rPr>
                <w:b/>
              </w:rPr>
              <w:t>Customer ID:</w:t>
            </w:r>
          </w:p>
        </w:tc>
        <w:tc>
          <w:tcPr>
            <w:tcW w:type="dxa" w:w="4320"/>
          </w:tcPr>
          <w:p>
            <w:r>
              <w:t>SA00000460</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00:10</w:t>
            </w:r>
          </w:p>
        </w:tc>
      </w:tr>
    </w:tbl>
    <w:p/>
    <w:p>
      <w:r>
        <w:rPr>
          <w:rFonts w:ascii="Arial" w:hAnsi="Arial"/>
          <w:b/>
          <w:color w:val="0066CC"/>
          <w:sz w:val="24"/>
        </w:rPr>
        <w:t>1. EXECUTIVE SUMMARY</w:t>
      </w:r>
    </w:p>
    <w:p/>
    <w:p>
      <w:r>
        <w:t>Final Classification: SUSPICIOUS</w:t>
        <w:br/>
        <w:t>Confidence Level: 70%</w:t>
        <w:br/>
        <w:t>Transaction Amount: 58,561.53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SA-TXN-0000000007</w:t>
            </w:r>
          </w:p>
        </w:tc>
      </w:tr>
      <w:tr>
        <w:tc>
          <w:tcPr>
            <w:tcW w:type="dxa" w:w="4320"/>
          </w:tcPr>
          <w:p>
            <w:r>
              <w:rPr>
                <w:b/>
              </w:rPr>
              <w:t>Customer ID</w:t>
            </w:r>
          </w:p>
        </w:tc>
        <w:tc>
          <w:tcPr>
            <w:tcW w:type="dxa" w:w="4320"/>
          </w:tcPr>
          <w:p>
            <w:r>
              <w:t>SA00000460</w:t>
            </w:r>
          </w:p>
        </w:tc>
      </w:tr>
      <w:tr>
        <w:tc>
          <w:tcPr>
            <w:tcW w:type="dxa" w:w="4320"/>
          </w:tcPr>
          <w:p>
            <w:r>
              <w:rPr>
                <w:b/>
              </w:rPr>
              <w:t>Customer Name</w:t>
            </w:r>
          </w:p>
        </w:tc>
        <w:tc>
          <w:tcPr>
            <w:tcW w:type="dxa" w:w="4320"/>
          </w:tcPr>
          <w:p>
            <w:r>
              <w:t>Fahad Salem</w:t>
            </w:r>
          </w:p>
        </w:tc>
      </w:tr>
      <w:tr>
        <w:tc>
          <w:tcPr>
            <w:tcW w:type="dxa" w:w="4320"/>
          </w:tcPr>
          <w:p>
            <w:r>
              <w:rPr>
                <w:b/>
              </w:rPr>
              <w:t>Date &amp; Time</w:t>
            </w:r>
          </w:p>
        </w:tc>
        <w:tc>
          <w:tcPr>
            <w:tcW w:type="dxa" w:w="4320"/>
          </w:tcPr>
          <w:p>
            <w:r>
              <w:t>2025-10-04 20:37:59</w:t>
            </w:r>
          </w:p>
        </w:tc>
      </w:tr>
      <w:tr>
        <w:tc>
          <w:tcPr>
            <w:tcW w:type="dxa" w:w="4320"/>
          </w:tcPr>
          <w:p>
            <w:r>
              <w:rPr>
                <w:b/>
              </w:rPr>
              <w:t>Amount</w:t>
            </w:r>
          </w:p>
        </w:tc>
        <w:tc>
          <w:tcPr>
            <w:tcW w:type="dxa" w:w="4320"/>
          </w:tcPr>
          <w:p>
            <w:r>
              <w:t>58,561.53 SAR</w:t>
            </w:r>
          </w:p>
        </w:tc>
      </w:tr>
      <w:tr>
        <w:tc>
          <w:tcPr>
            <w:tcW w:type="dxa" w:w="4320"/>
          </w:tcPr>
          <w:p>
            <w:r>
              <w:rPr>
                <w:b/>
              </w:rPr>
              <w:t>Beneficiary</w:t>
            </w:r>
          </w:p>
        </w:tc>
        <w:tc>
          <w:tcPr>
            <w:tcW w:type="dxa" w:w="4320"/>
          </w:tcPr>
          <w:p>
            <w:r>
              <w:t>Abdullah Khalid</w:t>
            </w:r>
          </w:p>
        </w:tc>
      </w:tr>
      <w:tr>
        <w:tc>
          <w:tcPr>
            <w:tcW w:type="dxa" w:w="4320"/>
          </w:tcPr>
          <w:p>
            <w:r>
              <w:rPr>
                <w:b/>
              </w:rPr>
              <w:t>Beneficiary Bank</w:t>
            </w:r>
          </w:p>
        </w:tc>
        <w:tc>
          <w:tcPr>
            <w:tcW w:type="dxa" w:w="4320"/>
          </w:tcPr>
          <w:p>
            <w:r>
              <w:t>Vaughn, Marquez and Ross Bank</w:t>
            </w:r>
          </w:p>
        </w:tc>
      </w:tr>
      <w:tr>
        <w:tc>
          <w:tcPr>
            <w:tcW w:type="dxa" w:w="4320"/>
          </w:tcPr>
          <w:p>
            <w:r>
              <w:rPr>
                <w:b/>
              </w:rPr>
              <w:t>Beneficiary Country</w:t>
            </w:r>
          </w:p>
        </w:tc>
        <w:tc>
          <w:tcPr>
            <w:tcW w:type="dxa" w:w="4320"/>
          </w:tcPr>
          <w:p>
            <w:r>
              <w:t>Bahrain</w:t>
            </w:r>
          </w:p>
        </w:tc>
      </w:tr>
      <w:tr>
        <w:tc>
          <w:tcPr>
            <w:tcW w:type="dxa" w:w="4320"/>
          </w:tcPr>
          <w:p>
            <w:r>
              <w:rPr>
                <w:b/>
              </w:rPr>
              <w:t>Transfer Type</w:t>
            </w:r>
          </w:p>
        </w:tc>
        <w:tc>
          <w:tcPr>
            <w:tcW w:type="dxa" w:w="4320"/>
          </w:tcPr>
          <w:p>
            <w:r>
              <w:t>Cross-Border Transfer</w:t>
            </w:r>
          </w:p>
        </w:tc>
      </w:tr>
      <w:tr>
        <w:tc>
          <w:tcPr>
            <w:tcW w:type="dxa" w:w="4320"/>
          </w:tcPr>
          <w:p>
            <w:r>
              <w:rPr>
                <w:b/>
              </w:rPr>
              <w:t>Transfer Purpose</w:t>
            </w:r>
          </w:p>
        </w:tc>
        <w:tc>
          <w:tcPr>
            <w:tcW w:type="dxa" w:w="4320"/>
          </w:tcPr>
          <w:p>
            <w:r>
              <w:t>Personal Savings</w:t>
            </w:r>
          </w:p>
        </w:tc>
      </w:tr>
      <w:tr>
        <w:tc>
          <w:tcPr>
            <w:tcW w:type="dxa" w:w="4320"/>
          </w:tcPr>
          <w:p>
            <w:r>
              <w:rPr>
                <w:b/>
              </w:rPr>
              <w:t>ML Fraud Score</w:t>
            </w:r>
          </w:p>
        </w:tc>
        <w:tc>
          <w:tcPr>
            <w:tcW w:type="dxa" w:w="4320"/>
          </w:tcPr>
          <w:p>
            <w:r>
              <w:t>0.069</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2016-01-18, Risk Level: Medium, KYC: Verified</w:t>
      </w:r>
    </w:p>
    <w:p>
      <w:r>
        <w:t>Login Activity: No recent login data</w:t>
      </w:r>
    </w:p>
    <w:p>
      <w:r>
        <w:t>Device Information: No device data available</w:t>
      </w:r>
    </w:p>
    <w:p/>
    <w:p>
      <w:r>
        <w:rPr>
          <w:rFonts w:ascii="Arial" w:hAnsi="Arial"/>
          <w:b/>
          <w:color w:val="0066CC"/>
          <w:sz w:val="24"/>
        </w:rPr>
        <w:t>4. RISK ASSESSMENT &amp; CLASSIFICATION</w:t>
      </w:r>
    </w:p>
    <w:p/>
    <w:p>
      <w:r>
        <w:t>Initial Classification: INVESTIGATE</w:t>
      </w:r>
    </w:p>
    <w:p>
      <w:r>
        <w:t>Confidence: 65%</w:t>
        <w:br/>
      </w:r>
    </w:p>
    <w:p>
      <w:pPr>
        <w:pStyle w:val="ListBullet"/>
      </w:pPr>
      <w:r>
        <w:t>Risk Factors Identified:</w:t>
      </w:r>
    </w:p>
    <w:p>
      <w:r>
        <w:br/>
        <w:t>Behavioral Analysis:</w:t>
      </w:r>
    </w:p>
    <w:p>
      <w:r>
        <w:t>• Profile Risk: UNKNOWN</w:t>
      </w:r>
    </w:p>
    <w:p>
      <w:r>
        <w:t>• Login Risk: UNKNOWN</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The risk is HIGH due to the unusually large transaction amount compared to the customer's account activity history. The previous case of fraudulent transactions also raises concerns about the customer's behavior.</w:t>
        <w:br/>
        <w:br/>
        <w:t xml:space="preserve">Recommendation: Flag the account for further review by a human analyst. </w:t>
        <w:br/>
        <w:br/>
        <w:t>Reasoning:</w:t>
        <w:br/>
        <w:br/>
        <w:t>*   **Transaction Amount**: The transaction amount ($58561.53) is significantly higher than the customer's average monthly spend (average = $632). This suggests that there may be an unusual or suspicious pattern.</w:t>
        <w:br/>
        <w:t>*   **Previous Fraud Case**: There was a previous case of suspected fraud involving this customer (case #1), which resulted in a loss of $12,000. Although this was not explicitly stated, it indicates potential issues with the customer's account management.</w:t>
        <w:br/>
        <w:t>*   **Customer Behavior**: The customer has been inactive for 3 years (3547 days old), which could imply inactivity or lack of engagement with their account. The customer has undergone KYC (Know Your Customer) checks, but these do not necessarily guarantee the absence of fraudulent activities.</w:t>
        <w:br/>
        <w:t>*   **Countries**: No countries are listed, suggesting no apparent international involvement. However, this does not provide enough information to rule out other potential red flags.</w:t>
        <w:br/>
        <w:t>*   **Logins**: There have been zero recent login attempts, which might suggest a lack of active usage or inactivity. Yet, this alone cannot confirm a lack of malicious intent.</w:t>
        <w:br/>
        <w:br/>
        <w:t>Overall, the combination of a high transaction amount, a previous case of suspected fraud, and inactivity raises significant concerns. To mitigate potential risks, flag the account for manual analysis by a human expert.</w:t>
      </w:r>
    </w:p>
    <w:p/>
    <w:p>
      <w:pPr>
        <w:pStyle w:val="ListBullet"/>
      </w:pPr>
      <w:r>
        <w:t>Behavioral Anomalies Detected:</w:t>
      </w:r>
    </w:p>
    <w:p>
      <w:pPr>
        <w:pStyle w:val="ListBullet2"/>
      </w:pPr>
      <w:r>
        <w:t>Previous fraud cases: 1</w:t>
      </w:r>
    </w:p>
    <w:p>
      <w:pPr>
        <w:pStyle w:val="ListBullet2"/>
      </w:pPr>
      <w:r>
        <w:t>Transaction amount 58561.53 is 94.0x above average</w:t>
      </w:r>
    </w:p>
    <w:p/>
    <w:p>
      <w:r>
        <w:rPr>
          <w:rFonts w:ascii="Arial" w:hAnsi="Arial"/>
          <w:b/>
          <w:color w:val="0066CC"/>
          <w:sz w:val="24"/>
        </w:rPr>
        <w:t>6. SAMA COMPLIANCE &amp; AML REQUIREMENTS</w:t>
      </w:r>
    </w:p>
    <w:p/>
    <w:p>
      <w:r>
        <w:t>SAMA AML/CFT Compliance Check:</w:t>
        <w:br/>
      </w:r>
    </w:p>
    <w:p>
      <w:r>
        <w:t>✓ Large Transaction Reporting: Amount 58,561.53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00:10:44</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