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CASE_SA-TXN-0000000009</w:t>
            </w:r>
          </w:p>
        </w:tc>
      </w:tr>
      <w:tr>
        <w:tc>
          <w:tcPr>
            <w:tcW w:type="dxa" w:w="4320"/>
          </w:tcPr>
          <w:p>
            <w:r>
              <w:rPr>
                <w:b/>
              </w:rPr>
              <w:t>Transaction ID:</w:t>
            </w:r>
          </w:p>
        </w:tc>
        <w:tc>
          <w:tcPr>
            <w:tcW w:type="dxa" w:w="4320"/>
          </w:tcPr>
          <w:p>
            <w:r>
              <w:t>SA-TXN-0000000009</w:t>
            </w:r>
          </w:p>
        </w:tc>
      </w:tr>
      <w:tr>
        <w:tc>
          <w:tcPr>
            <w:tcW w:type="dxa" w:w="4320"/>
          </w:tcPr>
          <w:p>
            <w:r>
              <w:rPr>
                <w:b/>
              </w:rPr>
              <w:t>Customer ID:</w:t>
            </w:r>
          </w:p>
        </w:tc>
        <w:tc>
          <w:tcPr>
            <w:tcW w:type="dxa" w:w="4320"/>
          </w:tcPr>
          <w:p>
            <w:r>
              <w:t>SA00000233</w:t>
            </w:r>
          </w:p>
        </w:tc>
      </w:tr>
      <w:tr>
        <w:tc>
          <w:tcPr>
            <w:tcW w:type="dxa" w:w="4320"/>
          </w:tcPr>
          <w:p>
            <w:r>
              <w:rPr>
                <w:b/>
              </w:rPr>
              <w:t>Case Status:</w:t>
            </w:r>
          </w:p>
        </w:tc>
        <w:tc>
          <w:tcPr>
            <w:tcW w:type="dxa" w:w="4320"/>
          </w:tcPr>
          <w:p>
            <w:r>
              <w:t>NO_FRAUD_DETECTED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00:15</w:t>
            </w:r>
          </w:p>
        </w:tc>
      </w:tr>
    </w:tbl>
    <w:p/>
    <w:p>
      <w:r>
        <w:rPr>
          <w:rFonts w:ascii="Arial" w:hAnsi="Arial"/>
          <w:b/>
          <w:color w:val="0066CC"/>
          <w:sz w:val="24"/>
        </w:rPr>
        <w:t>1. EXECUTIVE SUMMARY</w:t>
      </w:r>
    </w:p>
    <w:p/>
    <w:p>
      <w:r>
        <w:t>Final Classification: LEGITIMATE</w:t>
        <w:br/>
        <w:t>Confidence Level: 85%</w:t>
        <w:br/>
        <w:t>Transaction Amount: 822.91 SAR</w:t>
        <w:br/>
        <w:br/>
        <w:t>Summary:</w:t>
        <w:br/>
        <w:t>Investigation shows low fraud risk. Transaction appears legitimate.</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SA-TXN-0000000009</w:t>
            </w:r>
          </w:p>
        </w:tc>
      </w:tr>
      <w:tr>
        <w:tc>
          <w:tcPr>
            <w:tcW w:type="dxa" w:w="4320"/>
          </w:tcPr>
          <w:p>
            <w:r>
              <w:rPr>
                <w:b/>
              </w:rPr>
              <w:t>Customer ID</w:t>
            </w:r>
          </w:p>
        </w:tc>
        <w:tc>
          <w:tcPr>
            <w:tcW w:type="dxa" w:w="4320"/>
          </w:tcPr>
          <w:p>
            <w:r>
              <w:t>SA00000233</w:t>
            </w:r>
          </w:p>
        </w:tc>
      </w:tr>
      <w:tr>
        <w:tc>
          <w:tcPr>
            <w:tcW w:type="dxa" w:w="4320"/>
          </w:tcPr>
          <w:p>
            <w:r>
              <w:rPr>
                <w:b/>
              </w:rPr>
              <w:t>Customer Name</w:t>
            </w:r>
          </w:p>
        </w:tc>
        <w:tc>
          <w:tcPr>
            <w:tcW w:type="dxa" w:w="4320"/>
          </w:tcPr>
          <w:p>
            <w:r>
              <w:t>Turki Fahad</w:t>
            </w:r>
          </w:p>
        </w:tc>
      </w:tr>
      <w:tr>
        <w:tc>
          <w:tcPr>
            <w:tcW w:type="dxa" w:w="4320"/>
          </w:tcPr>
          <w:p>
            <w:r>
              <w:rPr>
                <w:b/>
              </w:rPr>
              <w:t>Date &amp; Time</w:t>
            </w:r>
          </w:p>
        </w:tc>
        <w:tc>
          <w:tcPr>
            <w:tcW w:type="dxa" w:w="4320"/>
          </w:tcPr>
          <w:p>
            <w:r>
              <w:t>2025-10-03 03:27:59</w:t>
            </w:r>
          </w:p>
        </w:tc>
      </w:tr>
      <w:tr>
        <w:tc>
          <w:tcPr>
            <w:tcW w:type="dxa" w:w="4320"/>
          </w:tcPr>
          <w:p>
            <w:r>
              <w:rPr>
                <w:b/>
              </w:rPr>
              <w:t>Amount</w:t>
            </w:r>
          </w:p>
        </w:tc>
        <w:tc>
          <w:tcPr>
            <w:tcW w:type="dxa" w:w="4320"/>
          </w:tcPr>
          <w:p>
            <w:r>
              <w:t>822.91 SAR</w:t>
            </w:r>
          </w:p>
        </w:tc>
      </w:tr>
      <w:tr>
        <w:tc>
          <w:tcPr>
            <w:tcW w:type="dxa" w:w="4320"/>
          </w:tcPr>
          <w:p>
            <w:r>
              <w:rPr>
                <w:b/>
              </w:rPr>
              <w:t>Beneficiary</w:t>
            </w:r>
          </w:p>
        </w:tc>
        <w:tc>
          <w:tcPr>
            <w:tcW w:type="dxa" w:w="4320"/>
          </w:tcPr>
          <w:p>
            <w:r>
              <w:t>Turki Fahad</w:t>
            </w:r>
          </w:p>
        </w:tc>
      </w:tr>
      <w:tr>
        <w:tc>
          <w:tcPr>
            <w:tcW w:type="dxa" w:w="4320"/>
          </w:tcPr>
          <w:p>
            <w:r>
              <w:rPr>
                <w:b/>
              </w:rPr>
              <w:t>Beneficiary Bank</w:t>
            </w:r>
          </w:p>
        </w:tc>
        <w:tc>
          <w:tcPr>
            <w:tcW w:type="dxa" w:w="4320"/>
          </w:tcPr>
          <w:p>
            <w:r>
              <w:t>Kennedy, Mueller and Aguirre Bank</w:t>
            </w:r>
          </w:p>
        </w:tc>
      </w:tr>
      <w:tr>
        <w:tc>
          <w:tcPr>
            <w:tcW w:type="dxa" w:w="4320"/>
          </w:tcPr>
          <w:p>
            <w:r>
              <w:rPr>
                <w:b/>
              </w:rPr>
              <w:t>Beneficiary Country</w:t>
            </w:r>
          </w:p>
        </w:tc>
        <w:tc>
          <w:tcPr>
            <w:tcW w:type="dxa" w:w="4320"/>
          </w:tcPr>
          <w:p>
            <w:r>
              <w:t>UAE</w:t>
            </w:r>
          </w:p>
        </w:tc>
      </w:tr>
      <w:tr>
        <w:tc>
          <w:tcPr>
            <w:tcW w:type="dxa" w:w="4320"/>
          </w:tcPr>
          <w:p>
            <w:r>
              <w:rPr>
                <w:b/>
              </w:rPr>
              <w:t>Transfer Type</w:t>
            </w:r>
          </w:p>
        </w:tc>
        <w:tc>
          <w:tcPr>
            <w:tcW w:type="dxa" w:w="4320"/>
          </w:tcPr>
          <w:p>
            <w:r>
              <w:t>Cross-Border Transfer</w:t>
            </w:r>
          </w:p>
        </w:tc>
      </w:tr>
      <w:tr>
        <w:tc>
          <w:tcPr>
            <w:tcW w:type="dxa" w:w="4320"/>
          </w:tcPr>
          <w:p>
            <w:r>
              <w:rPr>
                <w:b/>
              </w:rPr>
              <w:t>Transfer Purpose</w:t>
            </w:r>
          </w:p>
        </w:tc>
        <w:tc>
          <w:tcPr>
            <w:tcW w:type="dxa" w:w="4320"/>
          </w:tcPr>
          <w:p>
            <w:r>
              <w:t>Loan Repayment</w:t>
            </w:r>
          </w:p>
        </w:tc>
      </w:tr>
      <w:tr>
        <w:tc>
          <w:tcPr>
            <w:tcW w:type="dxa" w:w="4320"/>
          </w:tcPr>
          <w:p>
            <w:r>
              <w:rPr>
                <w:b/>
              </w:rPr>
              <w:t>ML Fraud Score</w:t>
            </w:r>
          </w:p>
        </w:tc>
        <w:tc>
          <w:tcPr>
            <w:tcW w:type="dxa" w:w="4320"/>
          </w:tcPr>
          <w:p>
            <w:r>
              <w:t>0.428</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NO</w:t>
            </w:r>
          </w:p>
        </w:tc>
      </w:tr>
    </w:tbl>
    <w:p/>
    <w:p>
      <w:r>
        <w:rPr>
          <w:rFonts w:ascii="Arial" w:hAnsi="Arial"/>
          <w:b/>
          <w:color w:val="0066CC"/>
          <w:sz w:val="24"/>
        </w:rPr>
        <w:t>3. CUSTOMER INFORMATION</w:t>
      </w:r>
    </w:p>
    <w:p/>
    <w:p>
      <w:r>
        <w:t>Profile Summary: Customer since 2020-06-09, Risk Level: Medium, KYC: Verified</w:t>
      </w:r>
    </w:p>
    <w:p>
      <w:r>
        <w:t>Login Activity: No recent login data</w:t>
      </w:r>
    </w:p>
    <w:p>
      <w:r>
        <w:t>Device Information: No device data available</w:t>
      </w:r>
    </w:p>
    <w:p/>
    <w:p>
      <w:r>
        <w:rPr>
          <w:rFonts w:ascii="Arial" w:hAnsi="Arial"/>
          <w:b/>
          <w:color w:val="0066CC"/>
          <w:sz w:val="24"/>
        </w:rPr>
        <w:t>4. RISK ASSESSMENT &amp; CLASSIFICATION</w:t>
      </w:r>
    </w:p>
    <w:p/>
    <w:p>
      <w:r>
        <w:t>Initial Classification: FLAGGED</w:t>
      </w:r>
    </w:p>
    <w:p>
      <w:r>
        <w:t>Confidence: 70%</w:t>
        <w:br/>
      </w:r>
    </w:p>
    <w:p>
      <w:pPr>
        <w:pStyle w:val="ListBullet"/>
      </w:pPr>
      <w:r>
        <w:t>Risk Factors Identified:</w:t>
      </w:r>
    </w:p>
    <w:p>
      <w:r>
        <w:br/>
        <w:t>Behavioral Analysis:</w:t>
      </w:r>
    </w:p>
    <w:p>
      <w:r>
        <w:t>• Profile Risk: UNKNOWN</w:t>
      </w:r>
    </w:p>
    <w:p>
      <w:r>
        <w:t>• Login Risk: UNKNOWN</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 xml:space="preserve">The Risk is MEDIUM due to the customer's previous fraudulent activity history (2 cases). However, the current login attempt does not show any suspicious patterns or red flags. The customer's age of 1943 years also raises a concern but considering it was likely an error during onboarding, this might be mitigated. </w:t>
        <w:br/>
        <w:br/>
        <w:t xml:space="preserve">Recommendation: </w:t>
        <w:br/>
        <w:t>Further investigation into the high-risk customer due to their past fraudulent behavior, potentially including verifying account details with the customer and possibly sending additional verification steps via email.</w:t>
        <w:br/>
        <w:br/>
        <w:t>This analysis aims to provide a clear breakdown of the information given and explain the reasoning behind the risk assessment. It includes identifying potential red flags, weighing these against other factors, and providing recommendations for further action. By doing so, it helps to ensure that the system can effectively identify high-risk customers while minimizing false positives.</w:t>
      </w:r>
    </w:p>
    <w:p/>
    <w:p>
      <w:pPr>
        <w:pStyle w:val="ListBullet"/>
      </w:pPr>
      <w:r>
        <w:t>Behavioral Anomalies Detected:</w:t>
      </w:r>
    </w:p>
    <w:p>
      <w:pPr>
        <w:pStyle w:val="ListBullet2"/>
      </w:pPr>
      <w:r>
        <w:t>Previous fraud cases: 2</w:t>
      </w:r>
    </w:p>
    <w:p/>
    <w:p>
      <w:r>
        <w:rPr>
          <w:rFonts w:ascii="Arial" w:hAnsi="Arial"/>
          <w:b/>
          <w:color w:val="0066CC"/>
          <w:sz w:val="24"/>
        </w:rPr>
        <w:t>6. SAMA COMPLIANCE &amp; AML REQUIREMENTS</w:t>
      </w:r>
    </w:p>
    <w:p/>
    <w:p>
      <w:r>
        <w:t>SAMA AML/CFT Compliance Check:</w:t>
        <w:br/>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Clear transaction</w:t>
      </w:r>
    </w:p>
    <w:p>
      <w:pPr>
        <w:pStyle w:val="ListBullet2"/>
      </w:pPr>
      <w:r>
        <w:t>2. Continue standard monitoring</w:t>
      </w:r>
    </w:p>
    <w:p>
      <w:pPr>
        <w:pStyle w:val="ListBullet2"/>
      </w:pPr>
      <w:r>
        <w:t>3. Update customer risk profile if needed</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00:15:05</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