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CASE_SA-TXN-0000000012</w:t>
            </w:r>
          </w:p>
        </w:tc>
      </w:tr>
      <w:tr>
        <w:tc>
          <w:tcPr>
            <w:tcW w:type="dxa" w:w="4320"/>
          </w:tcPr>
          <w:p>
            <w:r>
              <w:rPr>
                <w:b/>
              </w:rPr>
              <w:t>Transaction ID:</w:t>
            </w:r>
          </w:p>
        </w:tc>
        <w:tc>
          <w:tcPr>
            <w:tcW w:type="dxa" w:w="4320"/>
          </w:tcPr>
          <w:p>
            <w:r>
              <w:t>SA-TXN-0000000012</w:t>
            </w:r>
          </w:p>
        </w:tc>
      </w:tr>
      <w:tr>
        <w:tc>
          <w:tcPr>
            <w:tcW w:type="dxa" w:w="4320"/>
          </w:tcPr>
          <w:p>
            <w:r>
              <w:rPr>
                <w:b/>
              </w:rPr>
              <w:t>Customer ID:</w:t>
            </w:r>
          </w:p>
        </w:tc>
        <w:tc>
          <w:tcPr>
            <w:tcW w:type="dxa" w:w="4320"/>
          </w:tcPr>
          <w:p>
            <w:r>
              <w:t>SA00000387</w:t>
            </w:r>
          </w:p>
        </w:tc>
      </w:tr>
      <w:tr>
        <w:tc>
          <w:tcPr>
            <w:tcW w:type="dxa" w:w="4320"/>
          </w:tcPr>
          <w:p>
            <w:r>
              <w:rPr>
                <w:b/>
              </w:rPr>
              <w:t>Case Status:</w:t>
            </w:r>
          </w:p>
        </w:tc>
        <w:tc>
          <w:tcPr>
            <w:tcW w:type="dxa" w:w="4320"/>
          </w:tcPr>
          <w:p>
            <w:r>
              <w:t>SUSPECTED_FRAUD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00:25</w:t>
            </w:r>
          </w:p>
        </w:tc>
      </w:tr>
    </w:tbl>
    <w:p/>
    <w:p>
      <w:r>
        <w:rPr>
          <w:rFonts w:ascii="Arial" w:hAnsi="Arial"/>
          <w:b/>
          <w:color w:val="0066CC"/>
          <w:sz w:val="24"/>
        </w:rPr>
        <w:t>1. EXECUTIVE SUMMARY</w:t>
      </w:r>
    </w:p>
    <w:p/>
    <w:p>
      <w:r>
        <w:t>Final Classification: SUSPICIOUS</w:t>
        <w:br/>
        <w:t>Confidence Level: 70%</w:t>
        <w:br/>
        <w:t>Transaction Amount: 73,128.14 SAR</w:t>
        <w:br/>
        <w:br/>
        <w:t>Summary:</w:t>
        <w:br/>
        <w:t>Significant suspicious activity. Enhanced monitoring recommended.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SA-TXN-0000000012</w:t>
            </w:r>
          </w:p>
        </w:tc>
      </w:tr>
      <w:tr>
        <w:tc>
          <w:tcPr>
            <w:tcW w:type="dxa" w:w="4320"/>
          </w:tcPr>
          <w:p>
            <w:r>
              <w:rPr>
                <w:b/>
              </w:rPr>
              <w:t>Customer ID</w:t>
            </w:r>
          </w:p>
        </w:tc>
        <w:tc>
          <w:tcPr>
            <w:tcW w:type="dxa" w:w="4320"/>
          </w:tcPr>
          <w:p>
            <w:r>
              <w:t>SA00000387</w:t>
            </w:r>
          </w:p>
        </w:tc>
      </w:tr>
      <w:tr>
        <w:tc>
          <w:tcPr>
            <w:tcW w:type="dxa" w:w="4320"/>
          </w:tcPr>
          <w:p>
            <w:r>
              <w:rPr>
                <w:b/>
              </w:rPr>
              <w:t>Customer Name</w:t>
            </w:r>
          </w:p>
        </w:tc>
        <w:tc>
          <w:tcPr>
            <w:tcW w:type="dxa" w:w="4320"/>
          </w:tcPr>
          <w:p>
            <w:r>
              <w:t>Abdullah Khalid</w:t>
            </w:r>
          </w:p>
        </w:tc>
      </w:tr>
      <w:tr>
        <w:tc>
          <w:tcPr>
            <w:tcW w:type="dxa" w:w="4320"/>
          </w:tcPr>
          <w:p>
            <w:r>
              <w:rPr>
                <w:b/>
              </w:rPr>
              <w:t>Date &amp; Time</w:t>
            </w:r>
          </w:p>
        </w:tc>
        <w:tc>
          <w:tcPr>
            <w:tcW w:type="dxa" w:w="4320"/>
          </w:tcPr>
          <w:p>
            <w:r>
              <w:t>2025-09-27 20:31:59</w:t>
            </w:r>
          </w:p>
        </w:tc>
      </w:tr>
      <w:tr>
        <w:tc>
          <w:tcPr>
            <w:tcW w:type="dxa" w:w="4320"/>
          </w:tcPr>
          <w:p>
            <w:r>
              <w:rPr>
                <w:b/>
              </w:rPr>
              <w:t>Amount</w:t>
            </w:r>
          </w:p>
        </w:tc>
        <w:tc>
          <w:tcPr>
            <w:tcW w:type="dxa" w:w="4320"/>
          </w:tcPr>
          <w:p>
            <w:r>
              <w:t>73,128.14 SAR</w:t>
            </w:r>
          </w:p>
        </w:tc>
      </w:tr>
      <w:tr>
        <w:tc>
          <w:tcPr>
            <w:tcW w:type="dxa" w:w="4320"/>
          </w:tcPr>
          <w:p>
            <w:r>
              <w:rPr>
                <w:b/>
              </w:rPr>
              <w:t>Beneficiary</w:t>
            </w:r>
          </w:p>
        </w:tc>
        <w:tc>
          <w:tcPr>
            <w:tcW w:type="dxa" w:w="4320"/>
          </w:tcPr>
          <w:p>
            <w:r>
              <w:t>Saad Abdullah</w:t>
            </w:r>
          </w:p>
        </w:tc>
      </w:tr>
      <w:tr>
        <w:tc>
          <w:tcPr>
            <w:tcW w:type="dxa" w:w="4320"/>
          </w:tcPr>
          <w:p>
            <w:r>
              <w:rPr>
                <w:b/>
              </w:rPr>
              <w:t>Beneficiary Bank</w:t>
            </w:r>
          </w:p>
        </w:tc>
        <w:tc>
          <w:tcPr>
            <w:tcW w:type="dxa" w:w="4320"/>
          </w:tcPr>
          <w:p>
            <w:r>
              <w:t>Leonard and Sons Bank</w:t>
            </w:r>
          </w:p>
        </w:tc>
      </w:tr>
      <w:tr>
        <w:tc>
          <w:tcPr>
            <w:tcW w:type="dxa" w:w="4320"/>
          </w:tcPr>
          <w:p>
            <w:r>
              <w:rPr>
                <w:b/>
              </w:rPr>
              <w:t>Beneficiary Country</w:t>
            </w:r>
          </w:p>
        </w:tc>
        <w:tc>
          <w:tcPr>
            <w:tcW w:type="dxa" w:w="4320"/>
          </w:tcPr>
          <w:p>
            <w:r>
              <w:t>Kuwait</w:t>
            </w:r>
          </w:p>
        </w:tc>
      </w:tr>
      <w:tr>
        <w:tc>
          <w:tcPr>
            <w:tcW w:type="dxa" w:w="4320"/>
          </w:tcPr>
          <w:p>
            <w:r>
              <w:rPr>
                <w:b/>
              </w:rPr>
              <w:t>Transfer Type</w:t>
            </w:r>
          </w:p>
        </w:tc>
        <w:tc>
          <w:tcPr>
            <w:tcW w:type="dxa" w:w="4320"/>
          </w:tcPr>
          <w:p>
            <w:r>
              <w:t>International Wire Transfer</w:t>
            </w:r>
          </w:p>
        </w:tc>
      </w:tr>
      <w:tr>
        <w:tc>
          <w:tcPr>
            <w:tcW w:type="dxa" w:w="4320"/>
          </w:tcPr>
          <w:p>
            <w:r>
              <w:rPr>
                <w:b/>
              </w:rPr>
              <w:t>Transfer Purpose</w:t>
            </w:r>
          </w:p>
        </w:tc>
        <w:tc>
          <w:tcPr>
            <w:tcW w:type="dxa" w:w="4320"/>
          </w:tcPr>
          <w:p>
            <w:r>
              <w:t>Education Fee</w:t>
            </w:r>
          </w:p>
        </w:tc>
      </w:tr>
      <w:tr>
        <w:tc>
          <w:tcPr>
            <w:tcW w:type="dxa" w:w="4320"/>
          </w:tcPr>
          <w:p>
            <w:r>
              <w:rPr>
                <w:b/>
              </w:rPr>
              <w:t>ML Fraud Score</w:t>
            </w:r>
          </w:p>
        </w:tc>
        <w:tc>
          <w:tcPr>
            <w:tcW w:type="dxa" w:w="4320"/>
          </w:tcPr>
          <w:p>
            <w:r>
              <w:t>0.438</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2020-12-06, Risk Level: Low, KYC: Not Verified</w:t>
      </w:r>
    </w:p>
    <w:p>
      <w:r>
        <w:t>Login Activity: No recent login data</w:t>
      </w:r>
    </w:p>
    <w:p>
      <w:r>
        <w:t>Device Information: No device data available</w:t>
      </w:r>
    </w:p>
    <w:p/>
    <w:p>
      <w:r>
        <w:rPr>
          <w:rFonts w:ascii="Arial" w:hAnsi="Arial"/>
          <w:b/>
          <w:color w:val="0066CC"/>
          <w:sz w:val="24"/>
        </w:rPr>
        <w:t>4. RISK ASSESSMENT &amp; CLASSIFICATION</w:t>
      </w:r>
    </w:p>
    <w:p/>
    <w:p>
      <w:r>
        <w:t>Initial Classification: FLAGGED</w:t>
      </w:r>
    </w:p>
    <w:p>
      <w:r>
        <w:t>Confidence: 70%</w:t>
        <w:br/>
      </w:r>
    </w:p>
    <w:p>
      <w:pPr>
        <w:pStyle w:val="ListBullet"/>
      </w:pPr>
      <w:r>
        <w:t>Risk Factors Identified:</w:t>
      </w:r>
    </w:p>
    <w:p>
      <w:r>
        <w:br/>
        <w:t>Behavioral Analysis:</w:t>
      </w:r>
    </w:p>
    <w:p>
      <w:r>
        <w:t>• Profile Risk: UNKNOWN</w:t>
      </w:r>
    </w:p>
    <w:p>
      <w:r>
        <w:t>• Login Risk: UNKNOWN</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**High Risk**</w:t>
        <w:br/>
        <w:t xml:space="preserve">The customer's previous fraud case, unverified KYC information, and unusually high transaction amount make this a **High Risk** transaction. The risk is further exacerbated by the customer's significant age (1763 days), which could indicate an inactive account or a potentially vulnerable user. </w:t>
        <w:br/>
        <w:br/>
        <w:t>Please note that the system has identified this as High Risk due to the above factors, however it does not necessarily mean it will block the transaction. Other parameters like the amount of logins recently, countries involved, and the overall behavior of the account should also be considered while making final decisions.</w:t>
        <w:br/>
        <w:br/>
        <w:t>Here are some suggestions for improvement:</w:t>
        <w:br/>
        <w:br/>
        <w:t>1.  Improve account management processes to better detect and mitigate potential fraudulent activities.</w:t>
        <w:br/>
        <w:t>2.  Develop more sophisticated algorithms to analyze and classify anomalies.</w:t>
        <w:br/>
        <w:t>3.  Increase awareness about the risks associated with high-risk transactions and educate customers on the importance of verifying their identity and reporting suspicious activity.</w:t>
        <w:br/>
        <w:t>4.  Continuously monitor and update the system's machine learning models to prevent overfitting and improve overall accuracy.</w:t>
        <w:br/>
        <w:br/>
        <w:t>These suggestions aim to enhance the current system's capabilities and provide insights into how they can be implemented effectively. By prioritizing these improvements, you can create a more robust security framework that balances detection capabilities with usability and customer experience.</w:t>
      </w:r>
    </w:p>
    <w:p/>
    <w:p>
      <w:pPr>
        <w:pStyle w:val="ListBullet"/>
      </w:pPr>
      <w:r>
        <w:t>Behavioral Anomalies Detected:</w:t>
      </w:r>
    </w:p>
    <w:p>
      <w:pPr>
        <w:pStyle w:val="ListBullet2"/>
      </w:pPr>
      <w:r>
        <w:t>Previous fraud cases: 1</w:t>
      </w:r>
    </w:p>
    <w:p>
      <w:pPr>
        <w:pStyle w:val="ListBullet2"/>
      </w:pPr>
      <w:r>
        <w:t>KYC not verified</w:t>
      </w:r>
    </w:p>
    <w:p>
      <w:pPr>
        <w:pStyle w:val="ListBullet2"/>
      </w:pPr>
      <w:r>
        <w:t>Transaction amount 73128.14 is 11.9x above average</w:t>
      </w:r>
    </w:p>
    <w:p/>
    <w:p>
      <w:r>
        <w:rPr>
          <w:rFonts w:ascii="Arial" w:hAnsi="Arial"/>
          <w:b/>
          <w:color w:val="0066CC"/>
          <w:sz w:val="24"/>
        </w:rPr>
        <w:t>6. SAMA COMPLIANCE &amp; AML REQUIREMENTS</w:t>
      </w:r>
    </w:p>
    <w:p/>
    <w:p>
      <w:r>
        <w:t>SAMA AML/CFT Compliance Check:</w:t>
        <w:br/>
      </w:r>
    </w:p>
    <w:p>
      <w:r>
        <w:t>✓ Large Transaction Reporting: Amount 73,128.14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Place temporary hold on account</w:t>
      </w:r>
    </w:p>
    <w:p>
      <w:pPr>
        <w:pStyle w:val="ListBullet2"/>
      </w:pPr>
      <w:r>
        <w:t>2. Request additional customer verification</w:t>
      </w:r>
    </w:p>
    <w:p>
      <w:pPr>
        <w:pStyle w:val="ListBullet2"/>
      </w:pPr>
      <w:r>
        <w:t>3. Monitor account closely for 48 hours</w:t>
      </w:r>
    </w:p>
    <w:p>
      <w:pPr>
        <w:pStyle w:val="ListBullet2"/>
      </w:pPr>
      <w:r>
        <w:t>4. Review with fraud specialist</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00:25:41</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