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SA00000072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SUSPECTED_FRAUD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2025-10-05 00:34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SUSPICIOUS</w:t>
        <w:br/>
        <w:t>Confidence Level: 70%</w:t>
        <w:br/>
        <w:t>Transaction Amount: 42,477.22 SAR</w:t>
        <w:br/>
        <w:br/>
        <w:t>Summary:</w:t>
        <w:br/>
        <w:t>Significant suspicious activity. Enhanced monitoring recommended.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SA00000072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Maha Salem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2025-10-03 22:05:59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42,477.22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Dr. Kendra Contreras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King-Odonnell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Cross-Border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Family Support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0.718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Saudi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2018-10-17, Risk Level: Low, KYC: Verified</w:t>
      </w:r>
    </w:p>
    <w:p>
      <w:r>
        <w:t>Login Activity: 5 recent logins from 2 countries: Saudi Arabia, Turkey</w:t>
      </w:r>
    </w:p>
    <w:p>
      <w:r>
        <w:t>Device Information: 2 devices registered, 2 trusted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70%</w:t>
        <w:br/>
      </w:r>
    </w:p>
    <w:p>
      <w:pPr>
        <w:pStyle w:val="ListBullet"/>
      </w:pPr>
      <w:r>
        <w:t>Risk Factors Identified:</w:t>
      </w:r>
    </w:p>
    <w:p>
      <w:pPr>
        <w:pStyle w:val="ListBullet2"/>
      </w:pPr>
      <w:r>
        <w:t>High ML fraud score: 0.718</w:t>
      </w:r>
    </w:p>
    <w:p>
      <w:pPr>
        <w:pStyle w:val="ListBullet2"/>
      </w:pPr>
      <w:r>
        <w:t>Velocity flag triggered</w:t>
      </w:r>
    </w:p>
    <w:p>
      <w:pPr>
        <w:pStyle w:val="ListBullet2"/>
      </w:pPr>
      <w:r>
        <w:t>Unusual transaction amount</w:t>
      </w:r>
    </w:p>
    <w:p>
      <w:r>
        <w:br/>
        <w:t>Behavioral Analysis:</w:t>
      </w:r>
    </w:p>
    <w:p>
      <w:r>
        <w:t>• Profile Risk: UNKNOWN</w:t>
      </w:r>
    </w:p>
    <w:p>
      <w:r>
        <w:t>• Login Risk: UNKNOWN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Due to the significantly high transaction amount of 42477.22 which is 7.7x above average, the risk level is HIGH. This indicates a potential case of money laundering or other financial crimes.</w:t>
        <w:br/>
        <w:br/>
        <w:t>Recommendations:</w:t>
        <w:br/>
        <w:br/>
        <w:t>1. Verify customer identity through multiple channels including government ID and biometric data.</w:t>
        <w:br/>
        <w:t>2. Investigate previous transactions for any signs of fraudulent activity related to this account.</w:t>
        <w:br/>
        <w:t>3. Conduct thorough due diligence on the customer to assess their legitimacy and connection to the suspicious activity.</w:t>
        <w:br/>
        <w:t>4. File a report with the relevant authorities if further evidence supports the possibility of money laundering.</w:t>
        <w:br/>
        <w:t>5. Freeze all accounts associated with the customer until further investigation can be conducted.</w:t>
        <w:br/>
        <w:br/>
        <w:t>Note: The provided information is fictional and not real-world data, intended solely for demonstration purposes. In reality, companies would need to follow their internal policies and procedures when dealing with suspected cases of money laundering.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Transaction amount 42477.22 is 7.7x above average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Large Transaction Reporting: Amount 42,477.22 SAR exceeds SAMA threshold of 20,000 SAR</w:t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Place temporary hold on account</w:t>
      </w:r>
    </w:p>
    <w:p>
      <w:pPr>
        <w:pStyle w:val="ListBullet2"/>
      </w:pPr>
      <w:r>
        <w:t>2. Request additional customer verification</w:t>
      </w:r>
    </w:p>
    <w:p>
      <w:pPr>
        <w:pStyle w:val="ListBullet2"/>
      </w:pPr>
      <w:r>
        <w:t>3. Monitor account closely for 48 hours</w:t>
      </w:r>
    </w:p>
    <w:p>
      <w:pPr>
        <w:pStyle w:val="ListBullet2"/>
      </w:pPr>
      <w:r>
        <w:t>4. Review with fraud specialist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2025-10-05 00:34:48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