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Saudi National Bank</w:t>
      </w:r>
    </w:p>
    <w:p>
      <w:pPr>
        <w:pStyle w:val="Heading1"/>
        <w:jc w:val="center"/>
      </w:pPr>
      <w:r>
        <w:t>CLOSED CASES REFERENCE REPORT</w:t>
      </w:r>
    </w:p>
    <w:p>
      <w:r>
        <w:t>Generated: 2025-10-05 00:47:16</w:t>
      </w:r>
    </w:p>
    <w:p>
      <w:r>
        <w:t>Total Closed Cases: 0</w:t>
      </w:r>
    </w:p>
    <w:p/>
    <w:p>
      <w:pPr>
        <w:pStyle w:val="Heading2"/>
      </w:pPr>
      <w:r>
        <w:t>SUMMARY</w:t>
      </w:r>
    </w:p>
    <w:p>
      <w:r>
        <w:t>Total transfers reviewed and closed: 0</w:t>
        <w:br/>
      </w:r>
      <w:r>
        <w:t>All cases classified as LOW RISK or LEGITIMATE</w:t>
        <w:br/>
      </w:r>
      <w:r>
        <w:t>No further investigation required</w:t>
      </w:r>
    </w:p>
    <w:p/>
    <w:p>
      <w:pPr>
        <w:pStyle w:val="Heading2"/>
      </w:pPr>
      <w:r>
        <w:t>CLOSED CASES DETAILS</w:t>
      </w:r>
    </w:p>
    <w:p>
      <w:r>
        <w:t>No closed cases in this batch.</w:t>
      </w:r>
    </w:p>
    <w:p/>
    <w:p>
      <w:pPr>
        <w:pStyle w:val="Heading2"/>
      </w:pPr>
      <w:r>
        <w:t>STATISTICS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rPr>
          <w:b/>
        </w:rPr>
        <w:t>CONFIDENTIAL - For Internal Use Only</w:t>
        <w:br/>
      </w:r>
      <w:r>
        <w:t>Generated by Saudi National Bank Fraud Detection System</w:t>
        <w:br/>
      </w:r>
      <w:r>
        <w:t>Retention Period: 5 years as per SAMA regulations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