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09A90">
      <w:pPr>
        <w:spacing w:line="360" w:lineRule="auto"/>
        <w:jc w:val="center"/>
      </w:pPr>
      <w:r>
        <w:rPr>
          <w:rFonts w:ascii="Times New Roman" w:hAnsi="Times New Roman" w:eastAsia="黑体"/>
          <w:b/>
          <w:sz w:val="52"/>
        </w:rPr>
        <w:t>第八届中国研究生人工智能创新大赛</w:t>
      </w:r>
    </w:p>
    <w:p w14:paraId="09D9F077">
      <w:pPr>
        <w:spacing w:line="360" w:lineRule="auto"/>
      </w:pPr>
    </w:p>
    <w:p w14:paraId="41F4FA1C">
      <w:pPr>
        <w:spacing w:line="360" w:lineRule="auto"/>
      </w:pPr>
    </w:p>
    <w:p w14:paraId="6ACE30A7">
      <w:pPr>
        <w:spacing w:line="360" w:lineRule="auto"/>
      </w:pPr>
    </w:p>
    <w:p w14:paraId="55B160FF">
      <w:pPr>
        <w:spacing w:line="360" w:lineRule="auto"/>
      </w:pPr>
    </w:p>
    <w:p w14:paraId="5C9666E0">
      <w:pPr>
        <w:spacing w:line="360" w:lineRule="auto"/>
      </w:pPr>
    </w:p>
    <w:p w14:paraId="3350C959">
      <w:pPr>
        <w:spacing w:line="360" w:lineRule="auto"/>
      </w:pPr>
    </w:p>
    <w:p w14:paraId="4861AFED">
      <w:pPr>
        <w:spacing w:line="360" w:lineRule="auto"/>
      </w:pPr>
    </w:p>
    <w:p w14:paraId="60ADD61C">
      <w:pPr>
        <w:spacing w:line="360" w:lineRule="auto"/>
      </w:pPr>
    </w:p>
    <w:p w14:paraId="06FD4AF3">
      <w:pPr>
        <w:spacing w:line="360" w:lineRule="auto"/>
        <w:jc w:val="center"/>
      </w:pPr>
      <w:r>
        <w:rPr>
          <w:rFonts w:ascii="Times New Roman" w:hAnsi="Times New Roman" w:eastAsia="黑体"/>
          <w:b/>
          <w:sz w:val="44"/>
        </w:rPr>
        <w:t>【面向低算力平台的实时跌倒检测】</w:t>
      </w:r>
    </w:p>
    <w:p w14:paraId="21CE9061">
      <w:pPr>
        <w:spacing w:line="360" w:lineRule="auto"/>
        <w:jc w:val="center"/>
      </w:pPr>
      <w:r>
        <w:rPr>
          <w:rFonts w:ascii="Times New Roman" w:hAnsi="Times New Roman" w:eastAsia="黑体"/>
          <w:b/>
          <w:sz w:val="40"/>
        </w:rPr>
        <w:t>项目文档</w:t>
      </w:r>
    </w:p>
    <w:p w14:paraId="0D9FE27F">
      <w:pPr>
        <w:spacing w:line="360" w:lineRule="auto"/>
      </w:pPr>
    </w:p>
    <w:p w14:paraId="0A2492F1">
      <w:pPr>
        <w:spacing w:line="360" w:lineRule="auto"/>
      </w:pPr>
      <w:bookmarkStart w:id="0" w:name="_GoBack"/>
      <w:bookmarkEnd w:id="0"/>
    </w:p>
    <w:p w14:paraId="48718ABE">
      <w:pPr>
        <w:spacing w:line="360" w:lineRule="auto"/>
      </w:pPr>
    </w:p>
    <w:p w14:paraId="7EC0166E">
      <w:pPr>
        <w:spacing w:line="360" w:lineRule="auto"/>
      </w:pPr>
    </w:p>
    <w:p w14:paraId="2A781ECC">
      <w:pPr>
        <w:spacing w:line="360" w:lineRule="auto"/>
      </w:pPr>
    </w:p>
    <w:p w14:paraId="3E9E278C">
      <w:pPr>
        <w:spacing w:line="360" w:lineRule="auto"/>
        <w:jc w:val="center"/>
      </w:pPr>
      <w:r>
        <w:rPr>
          <w:rFonts w:ascii="Times New Roman" w:hAnsi="Times New Roman" w:eastAsia="宋体"/>
          <w:b/>
          <w:sz w:val="28"/>
        </w:rPr>
        <w:t>2026.09.01</w:t>
      </w:r>
    </w:p>
    <w:p w14:paraId="4E255C96">
      <w:pPr>
        <w:spacing w:line="360" w:lineRule="auto"/>
        <w:jc w:val="center"/>
      </w:pPr>
      <w:r>
        <w:rPr>
          <w:rFonts w:ascii="Times New Roman" w:hAnsi="Times New Roman" w:eastAsia="宋体"/>
          <w:b/>
          <w:sz w:val="28"/>
        </w:rPr>
        <w:t>抹茶吃不饱</w:t>
      </w:r>
    </w:p>
    <w:p w14:paraId="7E959173">
      <w:pPr>
        <w:spacing w:line="360" w:lineRule="auto"/>
        <w:jc w:val="center"/>
      </w:pPr>
      <w:r>
        <w:rPr>
          <w:rFonts w:ascii="Times New Roman" w:hAnsi="Times New Roman" w:eastAsia="宋体"/>
          <w:b/>
          <w:sz w:val="28"/>
        </w:rPr>
        <w:t>企业赛题七</w:t>
      </w:r>
    </w:p>
    <w:p w14:paraId="0589A7A6">
      <w:pPr>
        <w:sectPr>
          <w:headerReference r:id="rId5" w:type="default"/>
          <w:footerReference r:id="rId6" w:type="default"/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7F2614E">
      <w:pPr>
        <w:pStyle w:val="3"/>
        <w:ind w:firstLine="0"/>
      </w:pPr>
      <w:r>
        <w:rPr>
          <w:rFonts w:ascii="Times New Roman" w:hAnsi="Times New Roman" w:eastAsia="黑体"/>
          <w:b/>
          <w:sz w:val="36"/>
        </w:rPr>
        <w:t>目录</w:t>
      </w:r>
    </w:p>
    <w:p w14:paraId="54E1D942">
      <w:pPr>
        <w:tabs>
          <w:tab w:val="right" w:leader="dot" w:pos="8787"/>
        </w:tabs>
        <w:spacing w:line="360" w:lineRule="auto"/>
        <w:ind w:left="283"/>
      </w:pPr>
      <w:r>
        <w:rPr>
          <w:rFonts w:ascii="Times New Roman" w:hAnsi="Times New Roman" w:eastAsia="宋体"/>
          <w:b/>
          <w:sz w:val="23"/>
        </w:rPr>
        <w:t>1  项目概况</w:t>
      </w:r>
      <w:r>
        <w:rPr>
          <w:rFonts w:ascii="Times New Roman" w:hAnsi="Times New Roman" w:eastAsia="宋体"/>
          <w:b/>
          <w:sz w:val="23"/>
        </w:rPr>
        <w:tab/>
      </w:r>
      <w:r>
        <w:rPr>
          <w:rFonts w:ascii="Times New Roman" w:hAnsi="Times New Roman" w:eastAsia="宋体"/>
          <w:b/>
          <w:sz w:val="23"/>
        </w:rPr>
        <w:t>1</w:t>
      </w:r>
    </w:p>
    <w:p w14:paraId="55560293">
      <w:pPr>
        <w:tabs>
          <w:tab w:val="right" w:leader="dot" w:pos="8787"/>
        </w:tabs>
        <w:spacing w:line="360" w:lineRule="auto"/>
        <w:ind w:left="680"/>
      </w:pPr>
      <w:r>
        <w:rPr>
          <w:rFonts w:ascii="Times New Roman" w:hAnsi="Times New Roman" w:eastAsia="宋体"/>
          <w:b w:val="0"/>
          <w:sz w:val="23"/>
        </w:rPr>
        <w:t>1.1  研究背景与问题定义</w:t>
      </w:r>
      <w:r>
        <w:rPr>
          <w:rFonts w:ascii="Times New Roman" w:hAnsi="Times New Roman" w:eastAsia="宋体"/>
          <w:b w:val="0"/>
          <w:sz w:val="23"/>
        </w:rPr>
        <w:tab/>
      </w:r>
      <w:r>
        <w:rPr>
          <w:rFonts w:ascii="Times New Roman" w:hAnsi="Times New Roman" w:eastAsia="宋体"/>
          <w:b w:val="0"/>
          <w:sz w:val="23"/>
        </w:rPr>
        <w:t>1</w:t>
      </w:r>
    </w:p>
    <w:p w14:paraId="3E4A377B">
      <w:pPr>
        <w:tabs>
          <w:tab w:val="right" w:leader="dot" w:pos="8787"/>
        </w:tabs>
        <w:spacing w:line="360" w:lineRule="auto"/>
        <w:ind w:left="680"/>
      </w:pPr>
      <w:r>
        <w:rPr>
          <w:rFonts w:ascii="Times New Roman" w:hAnsi="Times New Roman" w:eastAsia="宋体"/>
          <w:b w:val="0"/>
          <w:sz w:val="23"/>
        </w:rPr>
        <w:t>1.2  研究目标与应用价值</w:t>
      </w:r>
      <w:r>
        <w:rPr>
          <w:rFonts w:ascii="Times New Roman" w:hAnsi="Times New Roman" w:eastAsia="宋体"/>
          <w:b w:val="0"/>
          <w:sz w:val="23"/>
        </w:rPr>
        <w:tab/>
      </w:r>
      <w:r>
        <w:rPr>
          <w:rFonts w:ascii="Times New Roman" w:hAnsi="Times New Roman" w:eastAsia="宋体"/>
          <w:b w:val="0"/>
          <w:sz w:val="23"/>
        </w:rPr>
        <w:t>2</w:t>
      </w:r>
    </w:p>
    <w:p w14:paraId="55665423">
      <w:pPr>
        <w:tabs>
          <w:tab w:val="right" w:leader="dot" w:pos="8787"/>
        </w:tabs>
        <w:spacing w:line="360" w:lineRule="auto"/>
        <w:ind w:left="680"/>
      </w:pPr>
      <w:r>
        <w:rPr>
          <w:rFonts w:ascii="Times New Roman" w:hAnsi="Times New Roman" w:eastAsia="宋体"/>
          <w:b w:val="0"/>
          <w:sz w:val="23"/>
        </w:rPr>
        <w:t>1.3  数据、知识与软硬件来源</w:t>
      </w:r>
      <w:r>
        <w:rPr>
          <w:rFonts w:ascii="Times New Roman" w:hAnsi="Times New Roman" w:eastAsia="宋体"/>
          <w:b w:val="0"/>
          <w:sz w:val="23"/>
        </w:rPr>
        <w:tab/>
      </w:r>
      <w:r>
        <w:rPr>
          <w:rFonts w:ascii="Times New Roman" w:hAnsi="Times New Roman" w:eastAsia="宋体"/>
          <w:b w:val="0"/>
          <w:sz w:val="23"/>
        </w:rPr>
        <w:t>3</w:t>
      </w:r>
    </w:p>
    <w:p w14:paraId="1BE85179">
      <w:pPr>
        <w:tabs>
          <w:tab w:val="right" w:leader="dot" w:pos="8787"/>
        </w:tabs>
        <w:spacing w:line="360" w:lineRule="auto"/>
        <w:ind w:left="283"/>
      </w:pPr>
      <w:r>
        <w:rPr>
          <w:rFonts w:ascii="Times New Roman" w:hAnsi="Times New Roman" w:eastAsia="宋体"/>
          <w:b/>
          <w:sz w:val="23"/>
        </w:rPr>
        <w:t>2  项目规划与创新性论证</w:t>
      </w:r>
      <w:r>
        <w:rPr>
          <w:rFonts w:ascii="Times New Roman" w:hAnsi="Times New Roman" w:eastAsia="宋体"/>
          <w:b/>
          <w:sz w:val="23"/>
        </w:rPr>
        <w:tab/>
      </w:r>
      <w:r>
        <w:rPr>
          <w:rFonts w:ascii="Times New Roman" w:hAnsi="Times New Roman" w:eastAsia="宋体"/>
          <w:b/>
          <w:sz w:val="23"/>
        </w:rPr>
        <w:t>3</w:t>
      </w:r>
    </w:p>
    <w:p w14:paraId="67FB7116">
      <w:pPr>
        <w:tabs>
          <w:tab w:val="right" w:leader="dot" w:pos="8787"/>
        </w:tabs>
        <w:spacing w:line="360" w:lineRule="auto"/>
        <w:ind w:left="680"/>
      </w:pPr>
      <w:r>
        <w:rPr>
          <w:rFonts w:ascii="Times New Roman" w:hAnsi="Times New Roman" w:eastAsia="宋体"/>
          <w:b w:val="0"/>
          <w:sz w:val="23"/>
        </w:rPr>
        <w:t>2.1  总体目标与评价协议</w:t>
      </w:r>
      <w:r>
        <w:rPr>
          <w:rFonts w:ascii="Times New Roman" w:hAnsi="Times New Roman" w:eastAsia="宋体"/>
          <w:b w:val="0"/>
          <w:sz w:val="23"/>
        </w:rPr>
        <w:tab/>
      </w:r>
      <w:r>
        <w:rPr>
          <w:rFonts w:ascii="Times New Roman" w:hAnsi="Times New Roman" w:eastAsia="宋体"/>
          <w:b w:val="0"/>
          <w:sz w:val="23"/>
        </w:rPr>
        <w:t>3</w:t>
      </w:r>
    </w:p>
    <w:p w14:paraId="38FC6394">
      <w:pPr>
        <w:tabs>
          <w:tab w:val="right" w:leader="dot" w:pos="8787"/>
        </w:tabs>
        <w:spacing w:line="360" w:lineRule="auto"/>
        <w:ind w:left="680"/>
      </w:pPr>
      <w:r>
        <w:rPr>
          <w:rFonts w:ascii="Times New Roman" w:hAnsi="Times New Roman" w:eastAsia="宋体"/>
          <w:b w:val="0"/>
          <w:sz w:val="23"/>
        </w:rPr>
        <w:t>2.2  相关路线比较</w:t>
      </w:r>
      <w:r>
        <w:rPr>
          <w:rFonts w:ascii="Times New Roman" w:hAnsi="Times New Roman" w:eastAsia="宋体"/>
          <w:b w:val="0"/>
          <w:sz w:val="23"/>
        </w:rPr>
        <w:tab/>
      </w:r>
      <w:r>
        <w:rPr>
          <w:rFonts w:ascii="Times New Roman" w:hAnsi="Times New Roman" w:eastAsia="宋体"/>
          <w:b w:val="0"/>
          <w:sz w:val="23"/>
        </w:rPr>
        <w:t>3</w:t>
      </w:r>
    </w:p>
    <w:p w14:paraId="4C9E0864">
      <w:pPr>
        <w:tabs>
          <w:tab w:val="right" w:leader="dot" w:pos="8787"/>
        </w:tabs>
        <w:spacing w:line="360" w:lineRule="auto"/>
        <w:ind w:left="680"/>
      </w:pPr>
      <w:r>
        <w:rPr>
          <w:rFonts w:ascii="Times New Roman" w:hAnsi="Times New Roman" w:eastAsia="宋体"/>
          <w:b w:val="0"/>
          <w:sz w:val="23"/>
        </w:rPr>
        <w:t>2.3  创新点与技术贡献</w:t>
      </w:r>
      <w:r>
        <w:rPr>
          <w:rFonts w:ascii="Times New Roman" w:hAnsi="Times New Roman" w:eastAsia="宋体"/>
          <w:b w:val="0"/>
          <w:sz w:val="23"/>
        </w:rPr>
        <w:tab/>
      </w:r>
      <w:r>
        <w:rPr>
          <w:rFonts w:ascii="Times New Roman" w:hAnsi="Times New Roman" w:eastAsia="宋体"/>
          <w:b w:val="0"/>
          <w:sz w:val="23"/>
        </w:rPr>
        <w:t>4</w:t>
      </w:r>
    </w:p>
    <w:p w14:paraId="56AB5487">
      <w:pPr>
        <w:tabs>
          <w:tab w:val="right" w:leader="dot" w:pos="8787"/>
        </w:tabs>
        <w:spacing w:line="360" w:lineRule="auto"/>
        <w:ind w:left="283"/>
      </w:pPr>
      <w:r>
        <w:rPr>
          <w:rFonts w:ascii="Times New Roman" w:hAnsi="Times New Roman" w:eastAsia="宋体"/>
          <w:b/>
          <w:sz w:val="23"/>
        </w:rPr>
        <w:t>3  实施方案</w:t>
      </w:r>
      <w:r>
        <w:rPr>
          <w:rFonts w:ascii="Times New Roman" w:hAnsi="Times New Roman" w:eastAsia="宋体"/>
          <w:b/>
          <w:sz w:val="23"/>
        </w:rPr>
        <w:tab/>
      </w:r>
      <w:r>
        <w:rPr>
          <w:rFonts w:ascii="Times New Roman" w:hAnsi="Times New Roman" w:eastAsia="宋体"/>
          <w:b/>
          <w:sz w:val="23"/>
        </w:rPr>
        <w:t>5</w:t>
      </w:r>
    </w:p>
    <w:p w14:paraId="0C86AE20">
      <w:pPr>
        <w:tabs>
          <w:tab w:val="right" w:leader="dot" w:pos="8787"/>
        </w:tabs>
        <w:spacing w:line="360" w:lineRule="auto"/>
        <w:ind w:left="680"/>
      </w:pPr>
      <w:r>
        <w:rPr>
          <w:rFonts w:ascii="Times New Roman" w:hAnsi="Times New Roman" w:eastAsia="宋体"/>
          <w:b w:val="0"/>
          <w:sz w:val="23"/>
        </w:rPr>
        <w:t>3.1  总体架构</w:t>
      </w:r>
      <w:r>
        <w:rPr>
          <w:rFonts w:ascii="Times New Roman" w:hAnsi="Times New Roman" w:eastAsia="宋体"/>
          <w:b w:val="0"/>
          <w:sz w:val="23"/>
        </w:rPr>
        <w:tab/>
      </w:r>
      <w:r>
        <w:rPr>
          <w:rFonts w:ascii="Times New Roman" w:hAnsi="Times New Roman" w:eastAsia="宋体"/>
          <w:b w:val="0"/>
          <w:sz w:val="23"/>
        </w:rPr>
        <w:t>5</w:t>
      </w:r>
    </w:p>
    <w:p w14:paraId="646EB0B5">
      <w:pPr>
        <w:tabs>
          <w:tab w:val="right" w:leader="dot" w:pos="8787"/>
        </w:tabs>
        <w:spacing w:line="360" w:lineRule="auto"/>
        <w:ind w:left="680"/>
      </w:pPr>
      <w:r>
        <w:rPr>
          <w:rFonts w:ascii="Times New Roman" w:hAnsi="Times New Roman" w:eastAsia="宋体"/>
          <w:b w:val="0"/>
          <w:sz w:val="23"/>
        </w:rPr>
        <w:t>3.2  姿态轨迹与候选事件</w:t>
      </w:r>
      <w:r>
        <w:rPr>
          <w:rFonts w:ascii="Times New Roman" w:hAnsi="Times New Roman" w:eastAsia="宋体"/>
          <w:b w:val="0"/>
          <w:sz w:val="23"/>
        </w:rPr>
        <w:tab/>
      </w:r>
      <w:r>
        <w:rPr>
          <w:rFonts w:ascii="Times New Roman" w:hAnsi="Times New Roman" w:eastAsia="宋体"/>
          <w:b w:val="0"/>
          <w:sz w:val="23"/>
        </w:rPr>
        <w:t>6</w:t>
      </w:r>
    </w:p>
    <w:p w14:paraId="73908517">
      <w:pPr>
        <w:tabs>
          <w:tab w:val="right" w:leader="dot" w:pos="8787"/>
        </w:tabs>
        <w:spacing w:line="360" w:lineRule="auto"/>
        <w:ind w:left="680"/>
      </w:pPr>
      <w:r>
        <w:rPr>
          <w:rFonts w:ascii="Times New Roman" w:hAnsi="Times New Roman" w:eastAsia="宋体"/>
          <w:b w:val="0"/>
          <w:sz w:val="23"/>
        </w:rPr>
        <w:t>3.3  双尺度时序与七头融合</w:t>
      </w:r>
      <w:r>
        <w:rPr>
          <w:rFonts w:ascii="Times New Roman" w:hAnsi="Times New Roman" w:eastAsia="宋体"/>
          <w:b w:val="0"/>
          <w:sz w:val="23"/>
        </w:rPr>
        <w:tab/>
      </w:r>
      <w:r>
        <w:rPr>
          <w:rFonts w:ascii="Times New Roman" w:hAnsi="Times New Roman" w:eastAsia="宋体"/>
          <w:b w:val="0"/>
          <w:sz w:val="23"/>
        </w:rPr>
        <w:t>7</w:t>
      </w:r>
    </w:p>
    <w:p w14:paraId="03F9C8EF">
      <w:pPr>
        <w:tabs>
          <w:tab w:val="right" w:leader="dot" w:pos="8787"/>
        </w:tabs>
        <w:spacing w:line="360" w:lineRule="auto"/>
        <w:ind w:left="680"/>
      </w:pPr>
      <w:r>
        <w:rPr>
          <w:rFonts w:ascii="Times New Roman" w:hAnsi="Times New Roman" w:eastAsia="宋体"/>
          <w:b w:val="0"/>
          <w:sz w:val="23"/>
        </w:rPr>
        <w:t>3.4  训练、验证与模型选择</w:t>
      </w:r>
      <w:r>
        <w:rPr>
          <w:rFonts w:ascii="Times New Roman" w:hAnsi="Times New Roman" w:eastAsia="宋体"/>
          <w:b w:val="0"/>
          <w:sz w:val="23"/>
        </w:rPr>
        <w:tab/>
      </w:r>
      <w:r>
        <w:rPr>
          <w:rFonts w:ascii="Times New Roman" w:hAnsi="Times New Roman" w:eastAsia="宋体"/>
          <w:b w:val="0"/>
          <w:sz w:val="23"/>
        </w:rPr>
        <w:t>7</w:t>
      </w:r>
    </w:p>
    <w:p w14:paraId="73D910FF">
      <w:pPr>
        <w:tabs>
          <w:tab w:val="right" w:leader="dot" w:pos="8787"/>
        </w:tabs>
        <w:spacing w:line="360" w:lineRule="auto"/>
        <w:ind w:left="680"/>
      </w:pPr>
      <w:r>
        <w:rPr>
          <w:rFonts w:ascii="Times New Roman" w:hAnsi="Times New Roman" w:eastAsia="宋体"/>
          <w:b w:val="0"/>
          <w:sz w:val="23"/>
        </w:rPr>
        <w:t>3.5  推理结果与运行证据</w:t>
      </w:r>
      <w:r>
        <w:rPr>
          <w:rFonts w:ascii="Times New Roman" w:hAnsi="Times New Roman" w:eastAsia="宋体"/>
          <w:b w:val="0"/>
          <w:sz w:val="23"/>
        </w:rPr>
        <w:tab/>
      </w:r>
      <w:r>
        <w:rPr>
          <w:rFonts w:ascii="Times New Roman" w:hAnsi="Times New Roman" w:eastAsia="宋体"/>
          <w:b w:val="0"/>
          <w:sz w:val="23"/>
        </w:rPr>
        <w:t>8</w:t>
      </w:r>
    </w:p>
    <w:p w14:paraId="7625D2FE">
      <w:pPr>
        <w:tabs>
          <w:tab w:val="right" w:leader="dot" w:pos="8787"/>
        </w:tabs>
        <w:spacing w:line="360" w:lineRule="auto"/>
        <w:ind w:left="680"/>
      </w:pPr>
      <w:r>
        <w:rPr>
          <w:rFonts w:ascii="Times New Roman" w:hAnsi="Times New Roman" w:eastAsia="宋体"/>
          <w:b w:val="0"/>
          <w:sz w:val="23"/>
        </w:rPr>
        <w:t>3.6  工程化与风险控制</w:t>
      </w:r>
      <w:r>
        <w:rPr>
          <w:rFonts w:ascii="Times New Roman" w:hAnsi="Times New Roman" w:eastAsia="宋体"/>
          <w:b w:val="0"/>
          <w:sz w:val="23"/>
        </w:rPr>
        <w:tab/>
      </w:r>
      <w:r>
        <w:rPr>
          <w:rFonts w:ascii="Times New Roman" w:hAnsi="Times New Roman" w:eastAsia="宋体"/>
          <w:b w:val="0"/>
          <w:sz w:val="23"/>
        </w:rPr>
        <w:t>8</w:t>
      </w:r>
    </w:p>
    <w:p w14:paraId="59A152D9">
      <w:pPr>
        <w:tabs>
          <w:tab w:val="right" w:leader="dot" w:pos="8787"/>
        </w:tabs>
        <w:spacing w:line="360" w:lineRule="auto"/>
        <w:ind w:left="283"/>
      </w:pPr>
      <w:r>
        <w:rPr>
          <w:rFonts w:ascii="Times New Roman" w:hAnsi="Times New Roman" w:eastAsia="宋体"/>
          <w:b/>
          <w:sz w:val="23"/>
        </w:rPr>
        <w:t>4  结论与潜在应用</w:t>
      </w:r>
      <w:r>
        <w:rPr>
          <w:rFonts w:ascii="Times New Roman" w:hAnsi="Times New Roman" w:eastAsia="宋体"/>
          <w:b/>
          <w:sz w:val="23"/>
        </w:rPr>
        <w:tab/>
      </w:r>
      <w:r>
        <w:rPr>
          <w:rFonts w:ascii="Times New Roman" w:hAnsi="Times New Roman" w:eastAsia="宋体"/>
          <w:b/>
          <w:sz w:val="23"/>
        </w:rPr>
        <w:t>9</w:t>
      </w:r>
    </w:p>
    <w:p w14:paraId="72C9CCF6">
      <w:pPr>
        <w:tabs>
          <w:tab w:val="right" w:leader="dot" w:pos="8787"/>
        </w:tabs>
        <w:spacing w:line="360" w:lineRule="auto"/>
        <w:ind w:left="283"/>
      </w:pPr>
      <w:r>
        <w:rPr>
          <w:rFonts w:ascii="Times New Roman" w:hAnsi="Times New Roman" w:eastAsia="宋体"/>
          <w:b/>
          <w:sz w:val="23"/>
        </w:rPr>
        <w:t>5  参考资料</w:t>
      </w:r>
      <w:r>
        <w:rPr>
          <w:rFonts w:ascii="Times New Roman" w:hAnsi="Times New Roman" w:eastAsia="宋体"/>
          <w:b/>
          <w:sz w:val="23"/>
        </w:rPr>
        <w:tab/>
      </w:r>
      <w:r>
        <w:rPr>
          <w:rFonts w:ascii="Times New Roman" w:hAnsi="Times New Roman" w:eastAsia="宋体"/>
          <w:b/>
          <w:sz w:val="23"/>
        </w:rPr>
        <w:t>10</w:t>
      </w:r>
    </w:p>
    <w:p w14:paraId="760CB6F5">
      <w:pPr>
        <w:sectPr>
          <w:headerReference r:id="rId7" w:type="default"/>
          <w:footerReference r:id="rId8" w:type="default"/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197A646">
      <w:pPr>
        <w:pStyle w:val="3"/>
        <w:ind w:firstLine="0"/>
      </w:pPr>
      <w:r>
        <w:rPr>
          <w:rFonts w:ascii="Times New Roman" w:hAnsi="Times New Roman" w:eastAsia="黑体"/>
          <w:b/>
          <w:sz w:val="36"/>
        </w:rPr>
        <w:t>记录更改历史</w:t>
      </w:r>
    </w:p>
    <w:tbl>
      <w:tblPr>
        <w:tblStyle w:val="33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2500"/>
        <w:gridCol w:w="1000"/>
        <w:gridCol w:w="1500"/>
        <w:gridCol w:w="1500"/>
        <w:gridCol w:w="1820"/>
      </w:tblGrid>
      <w:tr w14:paraId="5EE83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0" w:type="dxa"/>
            <w:vAlign w:val="center"/>
          </w:tcPr>
          <w:p w14:paraId="0C13736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w="2500" w:type="dxa"/>
            <w:vAlign w:val="center"/>
          </w:tcPr>
          <w:p w14:paraId="558684D6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更改原因</w:t>
            </w:r>
          </w:p>
        </w:tc>
        <w:tc>
          <w:tcPr>
            <w:tcW w:w="1000" w:type="dxa"/>
            <w:vAlign w:val="center"/>
          </w:tcPr>
          <w:p w14:paraId="53D21E3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版本</w:t>
            </w:r>
          </w:p>
        </w:tc>
        <w:tc>
          <w:tcPr>
            <w:tcW w:w="1500" w:type="dxa"/>
            <w:vAlign w:val="center"/>
          </w:tcPr>
          <w:p w14:paraId="528E255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作者</w:t>
            </w:r>
          </w:p>
        </w:tc>
        <w:tc>
          <w:tcPr>
            <w:tcW w:w="1500" w:type="dxa"/>
            <w:vAlign w:val="center"/>
          </w:tcPr>
          <w:p w14:paraId="5389A02D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w="1820" w:type="dxa"/>
            <w:vAlign w:val="center"/>
          </w:tcPr>
          <w:p w14:paraId="68A7D6D3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备注</w:t>
            </w:r>
          </w:p>
        </w:tc>
      </w:tr>
      <w:tr w14:paraId="0E56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5EAF1CCD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w="2500" w:type="dxa"/>
          </w:tcPr>
          <w:p w14:paraId="091499D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形成最终七头模型参赛文档</w:t>
            </w:r>
          </w:p>
        </w:tc>
        <w:tc>
          <w:tcPr>
            <w:tcW w:w="1000" w:type="dxa"/>
          </w:tcPr>
          <w:p w14:paraId="517E000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  <w:tc>
          <w:tcPr>
            <w:tcW w:w="1500" w:type="dxa"/>
          </w:tcPr>
          <w:p w14:paraId="4F81B640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抹茶吃不饱</w:t>
            </w:r>
          </w:p>
        </w:tc>
        <w:tc>
          <w:tcPr>
            <w:tcW w:w="1500" w:type="dxa"/>
          </w:tcPr>
          <w:p w14:paraId="6CE49365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2026.09.01</w:t>
            </w:r>
          </w:p>
        </w:tc>
        <w:tc>
          <w:tcPr>
            <w:tcW w:w="1820" w:type="dxa"/>
          </w:tcPr>
          <w:p w14:paraId="58E130E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运行包冻结</w:t>
            </w:r>
          </w:p>
        </w:tc>
      </w:tr>
      <w:tr w14:paraId="5ABF5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</w:tcPr>
          <w:p w14:paraId="0333A945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w="2500" w:type="dxa"/>
          </w:tcPr>
          <w:p w14:paraId="0A221193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补充学术论证、结构选择曲线与运行证据</w:t>
            </w:r>
          </w:p>
        </w:tc>
        <w:tc>
          <w:tcPr>
            <w:tcW w:w="1000" w:type="dxa"/>
          </w:tcPr>
          <w:p w14:paraId="7BBD6225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V1.1</w:t>
            </w:r>
          </w:p>
        </w:tc>
        <w:tc>
          <w:tcPr>
            <w:tcW w:w="1500" w:type="dxa"/>
          </w:tcPr>
          <w:p w14:paraId="0463953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抹茶吃不饱</w:t>
            </w:r>
          </w:p>
        </w:tc>
        <w:tc>
          <w:tcPr>
            <w:tcW w:w="1500" w:type="dxa"/>
          </w:tcPr>
          <w:p w14:paraId="0BF12C3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2026.09.01</w:t>
            </w:r>
          </w:p>
        </w:tc>
        <w:tc>
          <w:tcPr>
            <w:tcW w:w="1820" w:type="dxa"/>
          </w:tcPr>
          <w:p w14:paraId="09FDE5D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文档与视频同步更新</w:t>
            </w:r>
          </w:p>
        </w:tc>
      </w:tr>
    </w:tbl>
    <w:p w14:paraId="68DF8682">
      <w:pPr>
        <w:spacing w:after="80"/>
      </w:pPr>
    </w:p>
    <w:p w14:paraId="0E748240">
      <w:pPr>
        <w:sectPr>
          <w:headerReference r:id="rId9" w:type="default"/>
          <w:footerReference r:id="rId10" w:type="default"/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EDD8C8D">
      <w:pPr>
        <w:pStyle w:val="3"/>
        <w:ind w:firstLine="0"/>
      </w:pPr>
      <w:r>
        <w:rPr>
          <w:rFonts w:ascii="Times New Roman" w:hAnsi="Times New Roman" w:eastAsia="黑体"/>
          <w:b/>
          <w:sz w:val="36"/>
        </w:rPr>
        <w:t>1  项目概况</w:t>
      </w:r>
    </w:p>
    <w:p w14:paraId="22AD3517">
      <w:pPr>
        <w:pStyle w:val="4"/>
        <w:ind w:firstLine="0"/>
      </w:pPr>
      <w:r>
        <w:rPr>
          <w:rFonts w:ascii="Times New Roman" w:hAnsi="Times New Roman" w:eastAsia="黑体"/>
          <w:b/>
          <w:sz w:val="30"/>
        </w:rPr>
        <w:t>1.1  研究背景与问题定义</w:t>
      </w:r>
    </w:p>
    <w:p w14:paraId="20BB080C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跌倒检测的核心难点并非识别某一静态姿态，而是从连续视频中区分正常坐卧、弯腰、快速下蹲与真实失衡过程。单帧分类容易忽略速度、持续时间和落地后的状态变化；完全依赖 RGB 的大规模视频模型虽然表达能力强，但对算力、数据规模和部署环境提出更高要求。本项目因此将问题定义为：在普通 RGB 视频上，以人体轨迹为分析单位，对短时姿态变化、长时动作上下文和人体区域视觉信息进行联合建模，输出片段级跌倒风险及可复核的候选时间区间。</w:t>
      </w:r>
    </w:p>
    <w:p w14:paraId="587DFE87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系统坚持无标签推理约束：部署阶段只读取视频像素、帧率和运行时生成的人体框、关键点与轨迹，不读取类别标签、真实事件区间或真实人物 ID。该约束使离线验证、现场演示与最终运行包采用同一信息边界，降低因评测数据特定信息进入推理流程造成的偏差。</w:t>
      </w:r>
    </w:p>
    <w:p w14:paraId="67428F92">
      <w:pPr>
        <w:pStyle w:val="4"/>
        <w:ind w:firstLine="0"/>
      </w:pPr>
      <w:r>
        <w:rPr>
          <w:rFonts w:ascii="Times New Roman" w:hAnsi="Times New Roman" w:eastAsia="黑体"/>
          <w:b/>
          <w:sz w:val="30"/>
        </w:rPr>
        <w:t>1.2  研究目标与应用价值</w:t>
      </w:r>
    </w:p>
    <w:tbl>
      <w:tblPr>
        <w:tblStyle w:val="33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4000"/>
        <w:gridCol w:w="2520"/>
      </w:tblGrid>
      <w:tr w14:paraId="0652E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vAlign w:val="center"/>
          </w:tcPr>
          <w:p w14:paraId="6A0B4CE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研究问题</w:t>
            </w:r>
          </w:p>
        </w:tc>
        <w:tc>
          <w:tcPr>
            <w:tcW w:w="4000" w:type="dxa"/>
            <w:vAlign w:val="center"/>
          </w:tcPr>
          <w:p w14:paraId="6D054615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设计目标</w:t>
            </w:r>
          </w:p>
        </w:tc>
        <w:tc>
          <w:tcPr>
            <w:tcW w:w="2520" w:type="dxa"/>
            <w:vAlign w:val="center"/>
          </w:tcPr>
          <w:p w14:paraId="4B4744C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可验证输出</w:t>
            </w:r>
          </w:p>
        </w:tc>
      </w:tr>
      <w:tr w14:paraId="5256C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517254FD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如何兼顾精度与低算力部署？</w:t>
            </w:r>
          </w:p>
        </w:tc>
        <w:tc>
          <w:tcPr>
            <w:tcW w:w="4000" w:type="dxa"/>
          </w:tcPr>
          <w:p w14:paraId="58C5766D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复用单一姿态视觉主干，用轻量时序编码和多头融合补充表达能力。</w:t>
            </w:r>
          </w:p>
        </w:tc>
        <w:tc>
          <w:tcPr>
            <w:tcW w:w="2520" w:type="dxa"/>
          </w:tcPr>
          <w:p w14:paraId="6FED32B1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4.053M 参数、15.46 MiB FP32 参数量</w:t>
            </w:r>
          </w:p>
        </w:tc>
      </w:tr>
      <w:tr w14:paraId="6BDF6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65F7F1F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如何降低单一时间尺度的遗漏？</w:t>
            </w:r>
          </w:p>
        </w:tc>
        <w:tc>
          <w:tcPr>
            <w:tcW w:w="4000" w:type="dxa"/>
          </w:tcPr>
          <w:p w14:paraId="70340AB3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同时编码 16 帧局部动态和 48 帧连续上下文。</w:t>
            </w:r>
          </w:p>
        </w:tc>
        <w:tc>
          <w:tcPr>
            <w:tcW w:w="2520" w:type="dxa"/>
          </w:tcPr>
          <w:p w14:paraId="782661A2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六个短时头 + 一个长时专家</w:t>
            </w:r>
          </w:p>
        </w:tc>
      </w:tr>
      <w:tr w14:paraId="2AB6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2AD9FE0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如何使告警可解释？</w:t>
            </w:r>
          </w:p>
        </w:tc>
        <w:tc>
          <w:tcPr>
            <w:tcW w:w="4000" w:type="dxa"/>
          </w:tcPr>
          <w:p w14:paraId="213A2A94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保留轨迹、候选区间、成员 logits 与融合规则。</w:t>
            </w:r>
          </w:p>
        </w:tc>
        <w:tc>
          <w:tcPr>
            <w:tcW w:w="2520" w:type="dxa"/>
          </w:tcPr>
          <w:p w14:paraId="1CF1F8C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结构化 JSON 和逐帧可视化</w:t>
            </w:r>
          </w:p>
        </w:tc>
      </w:tr>
      <w:tr w14:paraId="517C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403D4356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如何保证交付可复现？</w:t>
            </w:r>
          </w:p>
        </w:tc>
        <w:tc>
          <w:tcPr>
            <w:tcW w:w="4000" w:type="dxa"/>
          </w:tcPr>
          <w:p w14:paraId="771F9C6E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冻结权重、依赖、协议和逐文件 SHA-256。</w:t>
            </w:r>
          </w:p>
        </w:tc>
        <w:tc>
          <w:tcPr>
            <w:tcW w:w="2520" w:type="dxa"/>
          </w:tcPr>
          <w:p w14:paraId="1B382515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MANIFEST.json 与烟测记录</w:t>
            </w:r>
          </w:p>
        </w:tc>
      </w:tr>
    </w:tbl>
    <w:p w14:paraId="24FB3B47">
      <w:pPr>
        <w:spacing w:after="80"/>
      </w:pPr>
    </w:p>
    <w:p w14:paraId="4438ECB4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潜在应用包括养老机构、家庭看护、病房与康复区域的风险辅助发现。系统定位为值守人员的辅助工具：告警用于触发人工回看和后续处置，不作为医疗诊断或唯一决策依据。</w:t>
      </w:r>
    </w:p>
    <w:p w14:paraId="61E351CD">
      <w:r>
        <w:br w:type="page"/>
      </w:r>
    </w:p>
    <w:p w14:paraId="7DBF8B3F">
      <w:pPr>
        <w:pStyle w:val="4"/>
        <w:ind w:firstLine="0"/>
      </w:pPr>
      <w:r>
        <w:rPr>
          <w:rFonts w:ascii="Times New Roman" w:hAnsi="Times New Roman" w:eastAsia="黑体"/>
          <w:b/>
          <w:sz w:val="30"/>
        </w:rPr>
        <w:t>1.3  数据、行业知识、算法与硬件来源</w:t>
      </w:r>
    </w:p>
    <w:tbl>
      <w:tblPr>
        <w:tblStyle w:val="33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50"/>
        <w:gridCol w:w="2200"/>
        <w:gridCol w:w="2470"/>
      </w:tblGrid>
      <w:tr w14:paraId="5D238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vAlign w:val="center"/>
          </w:tcPr>
          <w:p w14:paraId="21D1CD5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类别</w:t>
            </w:r>
          </w:p>
        </w:tc>
        <w:tc>
          <w:tcPr>
            <w:tcW w:w="2650" w:type="dxa"/>
            <w:vAlign w:val="center"/>
          </w:tcPr>
          <w:p w14:paraId="53AF346C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  <w:tc>
          <w:tcPr>
            <w:tcW w:w="2200" w:type="dxa"/>
            <w:vAlign w:val="center"/>
          </w:tcPr>
          <w:p w14:paraId="5384BC0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  <w:tc>
          <w:tcPr>
            <w:tcW w:w="2470" w:type="dxa"/>
            <w:vAlign w:val="center"/>
          </w:tcPr>
          <w:p w14:paraId="142961A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边界与引用</w:t>
            </w:r>
          </w:p>
        </w:tc>
      </w:tr>
      <w:tr w14:paraId="72A56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C62BBD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训练/验证数据</w:t>
            </w:r>
          </w:p>
        </w:tc>
        <w:tc>
          <w:tcPr>
            <w:tcW w:w="2650" w:type="dxa"/>
          </w:tcPr>
          <w:p w14:paraId="0E9C8E2B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OmniFall 标注、OF-Syn 合成视频</w:t>
            </w:r>
          </w:p>
        </w:tc>
        <w:tc>
          <w:tcPr>
            <w:tcW w:w="2200" w:type="dxa"/>
          </w:tcPr>
          <w:p w14:paraId="5C0182AF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时序模型训练与验证</w:t>
            </w:r>
          </w:p>
        </w:tc>
        <w:tc>
          <w:tcPr>
            <w:tcW w:w="2470" w:type="dxa"/>
          </w:tcPr>
          <w:p w14:paraId="0CAF846D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沿用项目记录的数据划分；Schneider et al., 2025</w:t>
            </w:r>
          </w:p>
        </w:tc>
      </w:tr>
      <w:tr w14:paraId="060AB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4FF79C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工程演示数据</w:t>
            </w:r>
          </w:p>
        </w:tc>
        <w:tc>
          <w:tcPr>
            <w:tcW w:w="2650" w:type="dxa"/>
          </w:tcPr>
          <w:p w14:paraId="38168061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UR Fall Detection Dataset</w:t>
            </w:r>
          </w:p>
        </w:tc>
        <w:tc>
          <w:tcPr>
            <w:tcW w:w="2200" w:type="dxa"/>
          </w:tcPr>
          <w:p w14:paraId="6F7D658F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公开视频端到端演示</w:t>
            </w:r>
          </w:p>
        </w:tc>
        <w:tc>
          <w:tcPr>
            <w:tcW w:w="2470" w:type="dxa"/>
          </w:tcPr>
          <w:p w14:paraId="6E541DA8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fall-01 / fall-02 / fall-10；Kępski, n.d.</w:t>
            </w:r>
          </w:p>
        </w:tc>
      </w:tr>
      <w:tr w14:paraId="693A1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637216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姿态算法</w:t>
            </w:r>
          </w:p>
        </w:tc>
        <w:tc>
          <w:tcPr>
            <w:tcW w:w="2650" w:type="dxa"/>
          </w:tcPr>
          <w:p w14:paraId="09B32D66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YOLO11 Pose</w:t>
            </w:r>
          </w:p>
        </w:tc>
        <w:tc>
          <w:tcPr>
            <w:tcW w:w="2200" w:type="dxa"/>
          </w:tcPr>
          <w:p w14:paraId="11DA237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17 点姿态、人体框</w:t>
            </w:r>
          </w:p>
        </w:tc>
        <w:tc>
          <w:tcPr>
            <w:tcW w:w="2470" w:type="dxa"/>
          </w:tcPr>
          <w:p w14:paraId="08093FE0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方法参考见 Khanam &amp; Hussain, 2024；运行版本见冻结包</w:t>
            </w:r>
          </w:p>
        </w:tc>
      </w:tr>
      <w:tr w14:paraId="4E95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0BC0C3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深度学习框架</w:t>
            </w:r>
          </w:p>
        </w:tc>
        <w:tc>
          <w:tcPr>
            <w:tcW w:w="2650" w:type="dxa"/>
          </w:tcPr>
          <w:p w14:paraId="15193D7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PyTorch</w:t>
            </w:r>
          </w:p>
        </w:tc>
        <w:tc>
          <w:tcPr>
            <w:tcW w:w="2200" w:type="dxa"/>
          </w:tcPr>
          <w:p w14:paraId="7BA87C92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模型加载与推理</w:t>
            </w:r>
          </w:p>
        </w:tc>
        <w:tc>
          <w:tcPr>
            <w:tcW w:w="2470" w:type="dxa"/>
          </w:tcPr>
          <w:p w14:paraId="74BDD3A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版本与依赖由冻结运行包记录</w:t>
            </w:r>
          </w:p>
        </w:tc>
      </w:tr>
      <w:tr w14:paraId="7C56D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93800E3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行业知识</w:t>
            </w:r>
          </w:p>
        </w:tc>
        <w:tc>
          <w:tcPr>
            <w:tcW w:w="2650" w:type="dxa"/>
          </w:tcPr>
          <w:p w14:paraId="7DA0396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跌倒过程的运动学与持续性</w:t>
            </w:r>
          </w:p>
        </w:tc>
        <w:tc>
          <w:tcPr>
            <w:tcW w:w="2200" w:type="dxa"/>
          </w:tcPr>
          <w:p w14:paraId="3156F486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候选区间及解释设计</w:t>
            </w:r>
          </w:p>
        </w:tc>
        <w:tc>
          <w:tcPr>
            <w:tcW w:w="2470" w:type="dxa"/>
          </w:tcPr>
          <w:p w14:paraId="1E41DC7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不包含身份识别或医疗诊断</w:t>
            </w:r>
          </w:p>
        </w:tc>
      </w:tr>
      <w:tr w14:paraId="29A96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49AA9D3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运行硬件</w:t>
            </w:r>
          </w:p>
        </w:tc>
        <w:tc>
          <w:tcPr>
            <w:tcW w:w="2650" w:type="dxa"/>
          </w:tcPr>
          <w:p w14:paraId="42D2AFFE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CUDA GPU / CPU 烟测环境</w:t>
            </w:r>
          </w:p>
        </w:tc>
        <w:tc>
          <w:tcPr>
            <w:tcW w:w="2200" w:type="dxa"/>
          </w:tcPr>
          <w:p w14:paraId="3B2A46E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模型推理与工程核验</w:t>
            </w:r>
          </w:p>
        </w:tc>
        <w:tc>
          <w:tcPr>
            <w:tcW w:w="2470" w:type="dxa"/>
          </w:tcPr>
          <w:p w14:paraId="6C719AA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不同环境结果分开报告</w:t>
            </w:r>
          </w:p>
        </w:tc>
      </w:tr>
    </w:tbl>
    <w:p w14:paraId="19CC3907">
      <w:pPr>
        <w:spacing w:after="80"/>
      </w:pPr>
    </w:p>
    <w:p w14:paraId="7DD16AC1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数据与第三方组件仅在各自许可和引用边界内使用。本项目提交包不重新分发原始数据集；最终运行包通过哈希清单记录源码、权重和依赖文件，便于复核来源与版本一致性。</w:t>
      </w:r>
    </w:p>
    <w:p w14:paraId="0B25CC38">
      <w:r>
        <w:br w:type="page"/>
      </w:r>
    </w:p>
    <w:p w14:paraId="1A06B199">
      <w:pPr>
        <w:pStyle w:val="3"/>
        <w:ind w:firstLine="0"/>
      </w:pPr>
      <w:r>
        <w:rPr>
          <w:rFonts w:ascii="Times New Roman" w:hAnsi="Times New Roman" w:eastAsia="黑体"/>
          <w:b/>
          <w:sz w:val="36"/>
        </w:rPr>
        <w:t>2  项目规划与创新性论证</w:t>
      </w:r>
    </w:p>
    <w:p w14:paraId="6B72B094">
      <w:pPr>
        <w:pStyle w:val="4"/>
        <w:ind w:firstLine="0"/>
      </w:pPr>
      <w:r>
        <w:rPr>
          <w:rFonts w:ascii="Times New Roman" w:hAnsi="Times New Roman" w:eastAsia="黑体"/>
          <w:b/>
          <w:sz w:val="30"/>
        </w:rPr>
        <w:t>2.1  总体目标与评价协议</w:t>
      </w:r>
    </w:p>
    <w:p w14:paraId="461FF13E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项目以排序质量、工程效率和可审计性为三类目标。排序指标采用 mAP、P@R90 与 P@R95，重点观察高召回区域的精确率；工程指标包括参数量、FP32 参数体积和逐帧耗时；可审计性要求每个最终分数能回溯至轨迹、候选区间和七个成员输出。</w:t>
      </w:r>
    </w:p>
    <w:tbl>
      <w:tblPr>
        <w:tblStyle w:val="33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2500"/>
        <w:gridCol w:w="3120"/>
      </w:tblGrid>
      <w:tr w14:paraId="076C9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vAlign w:val="center"/>
          </w:tcPr>
          <w:p w14:paraId="0AC52AFD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指标层级</w:t>
            </w:r>
          </w:p>
        </w:tc>
        <w:tc>
          <w:tcPr>
            <w:tcW w:w="1800" w:type="dxa"/>
            <w:vAlign w:val="center"/>
          </w:tcPr>
          <w:p w14:paraId="255F046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w="2500" w:type="dxa"/>
            <w:vAlign w:val="center"/>
          </w:tcPr>
          <w:p w14:paraId="7FB84AB5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冻结结果</w:t>
            </w:r>
          </w:p>
        </w:tc>
        <w:tc>
          <w:tcPr>
            <w:tcW w:w="3120" w:type="dxa"/>
            <w:vAlign w:val="center"/>
          </w:tcPr>
          <w:p w14:paraId="41EB2666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解释</w:t>
            </w:r>
          </w:p>
        </w:tc>
      </w:tr>
      <w:tr w14:paraId="1E3C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35F32735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验证集排序</w:t>
            </w:r>
          </w:p>
        </w:tc>
        <w:tc>
          <w:tcPr>
            <w:tcW w:w="1800" w:type="dxa"/>
          </w:tcPr>
          <w:p w14:paraId="12BC26E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mAP</w:t>
            </w:r>
          </w:p>
        </w:tc>
        <w:tc>
          <w:tcPr>
            <w:tcW w:w="2500" w:type="dxa"/>
          </w:tcPr>
          <w:p w14:paraId="542CF3D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75.208%</w:t>
            </w:r>
          </w:p>
        </w:tc>
        <w:tc>
          <w:tcPr>
            <w:tcW w:w="3120" w:type="dxa"/>
          </w:tcPr>
          <w:p w14:paraId="0DC86B5C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OF-Syn validation，1,200 clips</w:t>
            </w:r>
          </w:p>
        </w:tc>
      </w:tr>
      <w:tr w14:paraId="1A905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48F0A44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高召回性能</w:t>
            </w:r>
          </w:p>
        </w:tc>
        <w:tc>
          <w:tcPr>
            <w:tcW w:w="1800" w:type="dxa"/>
          </w:tcPr>
          <w:p w14:paraId="5EBFB58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P@R90 / P@R95</w:t>
            </w:r>
          </w:p>
        </w:tc>
        <w:tc>
          <w:tcPr>
            <w:tcW w:w="2500" w:type="dxa"/>
          </w:tcPr>
          <w:p w14:paraId="5DC63FF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77.907% / 72.509%</w:t>
            </w:r>
          </w:p>
        </w:tc>
        <w:tc>
          <w:tcPr>
            <w:tcW w:w="3120" w:type="dxa"/>
          </w:tcPr>
          <w:p w14:paraId="0B106A6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在高召回工作区间评估误报控制</w:t>
            </w:r>
          </w:p>
        </w:tc>
      </w:tr>
      <w:tr w14:paraId="1FD74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5F70C12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模型规模</w:t>
            </w:r>
          </w:p>
        </w:tc>
        <w:tc>
          <w:tcPr>
            <w:tcW w:w="1800" w:type="dxa"/>
          </w:tcPr>
          <w:p w14:paraId="2988140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参数 / FP32</w:t>
            </w:r>
          </w:p>
        </w:tc>
        <w:tc>
          <w:tcPr>
            <w:tcW w:w="2500" w:type="dxa"/>
          </w:tcPr>
          <w:p w14:paraId="6521643C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4.053M / 15.46 MiB</w:t>
            </w:r>
          </w:p>
        </w:tc>
        <w:tc>
          <w:tcPr>
            <w:tcW w:w="3120" w:type="dxa"/>
          </w:tcPr>
          <w:p w14:paraId="66E56242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按共享视觉、时序模块与七头统计</w:t>
            </w:r>
          </w:p>
        </w:tc>
      </w:tr>
      <w:tr w14:paraId="1982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5B35D905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运行效率</w:t>
            </w:r>
          </w:p>
        </w:tc>
        <w:tc>
          <w:tcPr>
            <w:tcW w:w="1800" w:type="dxa"/>
          </w:tcPr>
          <w:p w14:paraId="50C4A9A5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平均耗时</w:t>
            </w:r>
          </w:p>
        </w:tc>
        <w:tc>
          <w:tcPr>
            <w:tcW w:w="2500" w:type="dxa"/>
          </w:tcPr>
          <w:p w14:paraId="66D1B64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15.45 ms/frame</w:t>
            </w:r>
          </w:p>
        </w:tc>
        <w:tc>
          <w:tcPr>
            <w:tcW w:w="3120" w:type="dxa"/>
          </w:tcPr>
          <w:p w14:paraId="23D3C867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冻结运行记录，3,960 帧完整视频</w:t>
            </w:r>
          </w:p>
        </w:tc>
      </w:tr>
      <w:tr w14:paraId="7C04C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6D72EC8D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端到端功能</w:t>
            </w:r>
          </w:p>
        </w:tc>
        <w:tc>
          <w:tcPr>
            <w:tcW w:w="1800" w:type="dxa"/>
          </w:tcPr>
          <w:p w14:paraId="76C6AAF5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烟测</w:t>
            </w:r>
          </w:p>
        </w:tc>
        <w:tc>
          <w:tcPr>
            <w:tcW w:w="2500" w:type="dxa"/>
          </w:tcPr>
          <w:p w14:paraId="4BF47636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160 帧全部处理</w:t>
            </w:r>
          </w:p>
        </w:tc>
        <w:tc>
          <w:tcPr>
            <w:tcW w:w="3120" w:type="dxa"/>
          </w:tcPr>
          <w:p w14:paraId="1B0D3AE3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视频解码至结构化 JSON 闭环</w:t>
            </w:r>
          </w:p>
        </w:tc>
      </w:tr>
    </w:tbl>
    <w:p w14:paraId="420982CC">
      <w:pPr>
        <w:spacing w:after="80"/>
      </w:pPr>
    </w:p>
    <w:p w14:paraId="67A47101">
      <w:pPr>
        <w:pStyle w:val="4"/>
        <w:ind w:firstLine="0"/>
      </w:pPr>
      <w:r>
        <w:rPr>
          <w:rFonts w:ascii="Times New Roman" w:hAnsi="Times New Roman" w:eastAsia="黑体"/>
          <w:b/>
          <w:sz w:val="30"/>
        </w:rPr>
        <w:t>2.2  相关技术路线比较</w:t>
      </w:r>
    </w:p>
    <w:tbl>
      <w:tblPr>
        <w:tblStyle w:val="33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700"/>
        <w:gridCol w:w="2100"/>
        <w:gridCol w:w="2050"/>
        <w:gridCol w:w="1670"/>
      </w:tblGrid>
      <w:tr w14:paraId="40D08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vAlign w:val="center"/>
          </w:tcPr>
          <w:p w14:paraId="0D2F149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技术路线</w:t>
            </w:r>
          </w:p>
        </w:tc>
        <w:tc>
          <w:tcPr>
            <w:tcW w:w="1700" w:type="dxa"/>
            <w:vAlign w:val="center"/>
          </w:tcPr>
          <w:p w14:paraId="23DB525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信息来源</w:t>
            </w:r>
          </w:p>
        </w:tc>
        <w:tc>
          <w:tcPr>
            <w:tcW w:w="2100" w:type="dxa"/>
            <w:vAlign w:val="center"/>
          </w:tcPr>
          <w:p w14:paraId="31573A4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主要优势</w:t>
            </w:r>
          </w:p>
        </w:tc>
        <w:tc>
          <w:tcPr>
            <w:tcW w:w="2050" w:type="dxa"/>
            <w:vAlign w:val="center"/>
          </w:tcPr>
          <w:p w14:paraId="642A87A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主要局限</w:t>
            </w:r>
          </w:p>
        </w:tc>
        <w:tc>
          <w:tcPr>
            <w:tcW w:w="1670" w:type="dxa"/>
            <w:vAlign w:val="center"/>
          </w:tcPr>
          <w:p w14:paraId="288C1BE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本项目关系</w:t>
            </w:r>
          </w:p>
        </w:tc>
      </w:tr>
      <w:tr w14:paraId="3467E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CF6CF5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可穿戴传感器</w:t>
            </w:r>
          </w:p>
        </w:tc>
        <w:tc>
          <w:tcPr>
            <w:tcW w:w="1700" w:type="dxa"/>
          </w:tcPr>
          <w:p w14:paraId="5A92AC1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加速度/陀螺仪</w:t>
            </w:r>
          </w:p>
        </w:tc>
        <w:tc>
          <w:tcPr>
            <w:tcW w:w="2100" w:type="dxa"/>
          </w:tcPr>
          <w:p w14:paraId="637B7636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不依赖光照</w:t>
            </w:r>
          </w:p>
        </w:tc>
        <w:tc>
          <w:tcPr>
            <w:tcW w:w="2050" w:type="dxa"/>
          </w:tcPr>
          <w:p w14:paraId="6A0BDFC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依从性和维护成本</w:t>
            </w:r>
          </w:p>
        </w:tc>
        <w:tc>
          <w:tcPr>
            <w:tcW w:w="1670" w:type="dxa"/>
          </w:tcPr>
          <w:p w14:paraId="44925F5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目标是无穿戴视觉辅助</w:t>
            </w:r>
          </w:p>
        </w:tc>
      </w:tr>
      <w:tr w14:paraId="21B70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C8329FD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RGB-D / 深度相机</w:t>
            </w:r>
          </w:p>
        </w:tc>
        <w:tc>
          <w:tcPr>
            <w:tcW w:w="1700" w:type="dxa"/>
          </w:tcPr>
          <w:p w14:paraId="28B81F9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彩色+深度</w:t>
            </w:r>
          </w:p>
        </w:tc>
        <w:tc>
          <w:tcPr>
            <w:tcW w:w="2100" w:type="dxa"/>
          </w:tcPr>
          <w:p w14:paraId="73492660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几何信息直接</w:t>
            </w:r>
          </w:p>
        </w:tc>
        <w:tc>
          <w:tcPr>
            <w:tcW w:w="2050" w:type="dxa"/>
          </w:tcPr>
          <w:p w14:paraId="6C455BED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专用硬件和布设约束</w:t>
            </w:r>
          </w:p>
        </w:tc>
        <w:tc>
          <w:tcPr>
            <w:tcW w:w="1670" w:type="dxa"/>
          </w:tcPr>
          <w:p w14:paraId="674E59B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采用普通 RGB 降低门槛</w:t>
            </w:r>
          </w:p>
        </w:tc>
      </w:tr>
      <w:tr w14:paraId="69DC1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69762F6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单帧姿态分类</w:t>
            </w:r>
          </w:p>
        </w:tc>
        <w:tc>
          <w:tcPr>
            <w:tcW w:w="1700" w:type="dxa"/>
          </w:tcPr>
          <w:p w14:paraId="29A7C4DC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单帧关键点</w:t>
            </w:r>
          </w:p>
        </w:tc>
        <w:tc>
          <w:tcPr>
            <w:tcW w:w="2100" w:type="dxa"/>
          </w:tcPr>
          <w:p w14:paraId="33BDFC9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计算链路短</w:t>
            </w:r>
          </w:p>
        </w:tc>
        <w:tc>
          <w:tcPr>
            <w:tcW w:w="2050" w:type="dxa"/>
          </w:tcPr>
          <w:p w14:paraId="298B546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缺少动作时序</w:t>
            </w:r>
          </w:p>
        </w:tc>
        <w:tc>
          <w:tcPr>
            <w:tcW w:w="1670" w:type="dxa"/>
          </w:tcPr>
          <w:p w14:paraId="37731CB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引入 16/48 帧因果编码</w:t>
            </w:r>
          </w:p>
        </w:tc>
      </w:tr>
      <w:tr w14:paraId="3E636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640847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大型 RGB 视频模型</w:t>
            </w:r>
          </w:p>
        </w:tc>
        <w:tc>
          <w:tcPr>
            <w:tcW w:w="1700" w:type="dxa"/>
          </w:tcPr>
          <w:p w14:paraId="41D43E4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完整视频纹理</w:t>
            </w:r>
          </w:p>
        </w:tc>
        <w:tc>
          <w:tcPr>
            <w:tcW w:w="2100" w:type="dxa"/>
          </w:tcPr>
          <w:p w14:paraId="5CBD940F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表达能力强</w:t>
            </w:r>
          </w:p>
        </w:tc>
        <w:tc>
          <w:tcPr>
            <w:tcW w:w="2050" w:type="dxa"/>
          </w:tcPr>
          <w:p w14:paraId="2ADDB9B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算力和数据需求高</w:t>
            </w:r>
          </w:p>
        </w:tc>
        <w:tc>
          <w:tcPr>
            <w:tcW w:w="1670" w:type="dxa"/>
          </w:tcPr>
          <w:p w14:paraId="13D3685A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用共享 ROI token 作为补充</w:t>
            </w:r>
          </w:p>
        </w:tc>
      </w:tr>
      <w:tr w14:paraId="60929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6462EAD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本项目七头系统</w:t>
            </w:r>
          </w:p>
        </w:tc>
        <w:tc>
          <w:tcPr>
            <w:tcW w:w="1700" w:type="dxa"/>
          </w:tcPr>
          <w:p w14:paraId="3DBEAAF2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姿态+人体 ROI</w:t>
            </w:r>
          </w:p>
        </w:tc>
        <w:tc>
          <w:tcPr>
            <w:tcW w:w="2100" w:type="dxa"/>
          </w:tcPr>
          <w:p w14:paraId="41F17DD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多尺度、可解释、轻量</w:t>
            </w:r>
          </w:p>
        </w:tc>
        <w:tc>
          <w:tcPr>
            <w:tcW w:w="2050" w:type="dxa"/>
          </w:tcPr>
          <w:p w14:paraId="491B513D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依赖人体检测质量</w:t>
            </w:r>
          </w:p>
        </w:tc>
        <w:tc>
          <w:tcPr>
            <w:tcW w:w="1670" w:type="dxa"/>
          </w:tcPr>
          <w:p w14:paraId="0058915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固定融合并保留成员证据</w:t>
            </w:r>
          </w:p>
        </w:tc>
      </w:tr>
    </w:tbl>
    <w:p w14:paraId="633832A9">
      <w:pPr>
        <w:spacing w:after="80"/>
      </w:pPr>
    </w:p>
    <w:p w14:paraId="1A6D9DEB">
      <w:r>
        <w:br w:type="page"/>
      </w:r>
    </w:p>
    <w:p w14:paraId="12D5D66A">
      <w:pPr>
        <w:pStyle w:val="4"/>
        <w:ind w:firstLine="0"/>
      </w:pPr>
      <w:r>
        <w:rPr>
          <w:rFonts w:ascii="Times New Roman" w:hAnsi="Times New Roman" w:eastAsia="黑体"/>
          <w:b/>
          <w:sz w:val="30"/>
        </w:rPr>
        <w:t>2.3  创新点与技术贡献</w:t>
      </w:r>
    </w:p>
    <w:p w14:paraId="1C932097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（1）双尺度因果时序建模。短时分支以 16 帧窗口刻画快速下坠与姿态突变，长时分支使用原生连续 48 帧历史补充完整动作上下文；窗口只访问当前及过去帧，满足在线部署的信息约束。</w:t>
      </w:r>
    </w:p>
    <w:p w14:paraId="0AFBE67C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（2）共享视觉主干下的双证据融合。骨架分支表达关节几何与运动学，ROI 分支从同一 YOLO 特征图提取人体区域 token，补充骨架无法表达的局部外观和空间信息，同时避免再引入独立大规模 RGB 主干。</w:t>
      </w:r>
    </w:p>
    <w:p w14:paraId="7017944D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（3）以互补性而非单头峰值选择成员。五折配对审计显示，48 帧单头并非最强单模型，但与六个短时成员的相关系数仅为 0.917-0.937；加入后总体 mAP、P@R90、P@R95 分别提升 1.335、1.200、1.470 个百分点，说明长时上下文提供了可利用的互补证据。</w:t>
      </w:r>
    </w:p>
    <w:p w14:paraId="5DAE3988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（4）无可学习参数的部署融合。最终严格执行七个 raw logits 的算术平均后 sigmoid；不在部署视频上搜索融合权重或阈值。该策略将模型选择与现场推理解耦，使冻结后的输出规则可直接复算。</w:t>
      </w:r>
    </w:p>
    <w:p w14:paraId="0A42F2AC">
      <w:pPr>
        <w:jc w:val="center"/>
      </w:pPr>
      <w:r>
        <w:drawing>
          <wp:inline distT="0" distB="0" distL="114300" distR="114300">
            <wp:extent cx="5579745" cy="2120265"/>
            <wp:effectExtent l="0" t="0" r="8255" b="635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: image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6680">
      <w:pPr>
        <w:spacing w:after="160" w:line="360" w:lineRule="auto"/>
        <w:jc w:val="center"/>
      </w:pPr>
      <w:r>
        <w:rPr>
          <w:rFonts w:ascii="Times New Roman" w:hAnsi="Times New Roman" w:eastAsia="宋体"/>
          <w:b w:val="0"/>
          <w:sz w:val="19"/>
        </w:rPr>
        <w:t>图 1  模型结构选择的配对验证证据。六头基线与七头候选在相同五折 train-OOF 身份上比较；结构搜索轨迹用于说明模型选择收敛，不冒充缺失的逐 epoch 损失记录。</w:t>
      </w:r>
    </w:p>
    <w:p w14:paraId="3EE1D923">
      <w:r>
        <w:br w:type="page"/>
      </w:r>
    </w:p>
    <w:p w14:paraId="187D7068">
      <w:pPr>
        <w:pStyle w:val="3"/>
        <w:ind w:firstLine="0"/>
      </w:pPr>
      <w:r>
        <w:rPr>
          <w:rFonts w:ascii="Times New Roman" w:hAnsi="Times New Roman" w:eastAsia="黑体"/>
          <w:b/>
          <w:sz w:val="36"/>
        </w:rPr>
        <w:t>3  实施方案</w:t>
      </w:r>
    </w:p>
    <w:p w14:paraId="6FB81BF9">
      <w:pPr>
        <w:pStyle w:val="4"/>
        <w:ind w:firstLine="0"/>
      </w:pPr>
      <w:r>
        <w:rPr>
          <w:rFonts w:ascii="Times New Roman" w:hAnsi="Times New Roman" w:eastAsia="黑体"/>
          <w:b/>
          <w:sz w:val="30"/>
        </w:rPr>
        <w:t>3.1  总体架构</w:t>
      </w:r>
    </w:p>
    <w:p w14:paraId="08B05664">
      <w:pPr>
        <w:jc w:val="center"/>
      </w:pPr>
      <w:r>
        <w:drawing>
          <wp:inline distT="0" distB="0" distL="114300" distR="114300">
            <wp:extent cx="5579745" cy="2008505"/>
            <wp:effectExtent l="0" t="0" r="8255" b="10795"/>
            <wp:docPr id="2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: image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C814">
      <w:pPr>
        <w:spacing w:after="160" w:line="360" w:lineRule="auto"/>
        <w:jc w:val="center"/>
      </w:pPr>
      <w:r>
        <w:rPr>
          <w:rFonts w:ascii="Times New Roman" w:hAnsi="Times New Roman" w:eastAsia="宋体"/>
          <w:b w:val="0"/>
          <w:sz w:val="19"/>
        </w:rPr>
        <w:t>图 2  最终七头模型的端到端技术架构。前六个头使用 16 帧短时证据，第七头引入 48 帧长时证据，所有输出在 clip logit 层固定等权融合。</w:t>
      </w:r>
    </w:p>
    <w:p w14:paraId="43A7FCE4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系统由视频解码、姿态与多目标跟踪、短/长时骨架编码、人体 ROI token、七个分类头和固定融合六个层级组成。人体检测与 ROI 特征共享 YOLO11n-pose 视觉主干；时序模块仅处理人物级特征，因此计算复杂度不会随整幅图像的大型视频 backbone 成倍增长。</w:t>
      </w:r>
    </w:p>
    <w:p w14:paraId="3920E209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在时刻 t，输入为 RGB 帧 I_t∈R^(H×W×3)。姿态主干输出每位候选人的 17 个 COCO 关键点 P_t∈R^(17×3)、人体框 b_t=(x,y,w,h) 和检测置信度。跟踪器将相邻帧中 IoU 与中心速度一致的检测关联为同一 track_id，并为短时漏检保留 valid_mask；因此时序网络接收的是“某一人”的连续证据，而非按帧独立的全图预测。</w:t>
      </w:r>
    </w:p>
    <w:tbl>
      <w:tblPr>
        <w:tblStyle w:val="33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300"/>
        <w:gridCol w:w="3300"/>
        <w:gridCol w:w="2020"/>
      </w:tblGrid>
      <w:tr w14:paraId="2F624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00" w:type="dxa"/>
            <w:vAlign w:val="center"/>
          </w:tcPr>
          <w:p w14:paraId="1ABF4DA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层级</w:t>
            </w:r>
          </w:p>
        </w:tc>
        <w:tc>
          <w:tcPr>
            <w:tcW w:w="2300" w:type="dxa"/>
            <w:vAlign w:val="center"/>
          </w:tcPr>
          <w:p w14:paraId="31E7FEB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输入对象</w:t>
            </w:r>
          </w:p>
        </w:tc>
        <w:tc>
          <w:tcPr>
            <w:tcW w:w="3300" w:type="dxa"/>
            <w:vAlign w:val="center"/>
          </w:tcPr>
          <w:p w14:paraId="2B7F21F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核心变换</w:t>
            </w:r>
          </w:p>
        </w:tc>
        <w:tc>
          <w:tcPr>
            <w:tcW w:w="2020" w:type="dxa"/>
            <w:vAlign w:val="center"/>
          </w:tcPr>
          <w:p w14:paraId="7084962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输出对象</w:t>
            </w:r>
          </w:p>
        </w:tc>
      </w:tr>
      <w:tr w14:paraId="7973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0099DE2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视觉与姿态</w:t>
            </w:r>
          </w:p>
        </w:tc>
        <w:tc>
          <w:tcPr>
            <w:tcW w:w="2300" w:type="dxa"/>
          </w:tcPr>
          <w:p w14:paraId="792767D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RGB 帧 I_t</w:t>
            </w:r>
          </w:p>
        </w:tc>
        <w:tc>
          <w:tcPr>
            <w:tcW w:w="3300" w:type="dxa"/>
          </w:tcPr>
          <w:p w14:paraId="4AD0A845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YOLO11n-pose 一次前向，检测与特征共享</w:t>
            </w:r>
          </w:p>
        </w:tc>
        <w:tc>
          <w:tcPr>
            <w:tcW w:w="2020" w:type="dxa"/>
          </w:tcPr>
          <w:p w14:paraId="0CBC380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17 点、人体框、置信度、特征图</w:t>
            </w:r>
          </w:p>
        </w:tc>
      </w:tr>
      <w:tr w14:paraId="2A4B2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802E3A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轨迹管理</w:t>
            </w:r>
          </w:p>
        </w:tc>
        <w:tc>
          <w:tcPr>
            <w:tcW w:w="2300" w:type="dxa"/>
          </w:tcPr>
          <w:p w14:paraId="78B7DE9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关键点、人体框、中心速度</w:t>
            </w:r>
          </w:p>
        </w:tc>
        <w:tc>
          <w:tcPr>
            <w:tcW w:w="3300" w:type="dxa"/>
          </w:tcPr>
          <w:p w14:paraId="47A8580C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IoU 匹配、常速度预测、valid_mask</w:t>
            </w:r>
          </w:p>
        </w:tc>
        <w:tc>
          <w:tcPr>
            <w:tcW w:w="2020" w:type="dxa"/>
          </w:tcPr>
          <w:p w14:paraId="7D40E3E0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按人分组的 track_id 序列</w:t>
            </w:r>
          </w:p>
        </w:tc>
      </w:tr>
      <w:tr w14:paraId="4B4F5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D4DA540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骨架特征</w:t>
            </w:r>
          </w:p>
        </w:tc>
        <w:tc>
          <w:tcPr>
            <w:tcW w:w="2300" w:type="dxa"/>
          </w:tcPr>
          <w:p w14:paraId="188ACC2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P_t、b_t 及相邻帧差分</w:t>
            </w:r>
          </w:p>
        </w:tc>
        <w:tc>
          <w:tcPr>
            <w:tcW w:w="3300" w:type="dxa"/>
          </w:tcPr>
          <w:p w14:paraId="6CC87480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坐标归一化、骨骼向量、速度与运动学统计</w:t>
            </w:r>
          </w:p>
        </w:tc>
        <w:tc>
          <w:tcPr>
            <w:tcW w:w="2020" w:type="dxa"/>
          </w:tcPr>
          <w:p w14:paraId="7F84C93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六类逐人时序特征</w:t>
            </w:r>
          </w:p>
        </w:tc>
      </w:tr>
      <w:tr w14:paraId="0D374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0743F9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视觉证据</w:t>
            </w:r>
          </w:p>
        </w:tc>
        <w:tc>
          <w:tcPr>
            <w:tcW w:w="2300" w:type="dxa"/>
          </w:tcPr>
          <w:p w14:paraId="416E3FE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共享特征图 + 人体框</w:t>
            </w:r>
          </w:p>
        </w:tc>
        <w:tc>
          <w:tcPr>
            <w:tcW w:w="3300" w:type="dxa"/>
          </w:tcPr>
          <w:p w14:paraId="18DDEDC6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对每个人体区域提取 320/640 ROI token</w:t>
            </w:r>
          </w:p>
        </w:tc>
        <w:tc>
          <w:tcPr>
            <w:tcW w:w="2020" w:type="dxa"/>
          </w:tcPr>
          <w:p w14:paraId="29CE496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与骨架同步的 ROI 表征</w:t>
            </w:r>
          </w:p>
        </w:tc>
      </w:tr>
      <w:tr w14:paraId="03B60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F4FD27F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时序与分类</w:t>
            </w:r>
          </w:p>
        </w:tc>
        <w:tc>
          <w:tcPr>
            <w:tcW w:w="2300" w:type="dxa"/>
          </w:tcPr>
          <w:p w14:paraId="2B6F5A3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16 帧或 48 帧人物证据</w:t>
            </w:r>
          </w:p>
        </w:tc>
        <w:tc>
          <w:tcPr>
            <w:tcW w:w="3300" w:type="dxa"/>
          </w:tcPr>
          <w:p w14:paraId="2FC2AEBE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因果卷积、Joint-only Transformer、七个分类头</w:t>
            </w:r>
          </w:p>
        </w:tc>
        <w:tc>
          <w:tcPr>
            <w:tcW w:w="2020" w:type="dxa"/>
          </w:tcPr>
          <w:p w14:paraId="49AEE37C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 个 raw logits</w:t>
            </w:r>
          </w:p>
        </w:tc>
      </w:tr>
      <w:tr w14:paraId="6FDC0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93A003F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决策输出</w:t>
            </w:r>
          </w:p>
        </w:tc>
        <w:tc>
          <w:tcPr>
            <w:tcW w:w="2300" w:type="dxa"/>
          </w:tcPr>
          <w:p w14:paraId="51717C2E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clip 级 7 个 raw logits</w:t>
            </w:r>
          </w:p>
        </w:tc>
        <w:tc>
          <w:tcPr>
            <w:tcW w:w="3300" w:type="dxa"/>
          </w:tcPr>
          <w:p w14:paraId="3229547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固定均值与 sigmoid</w:t>
            </w:r>
          </w:p>
        </w:tc>
        <w:tc>
          <w:tcPr>
            <w:tcW w:w="2020" w:type="dxa"/>
          </w:tcPr>
          <w:p w14:paraId="2AA29BA4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score、候选区间、成员输出 JSON</w:t>
            </w:r>
          </w:p>
        </w:tc>
      </w:tr>
    </w:tbl>
    <w:p w14:paraId="2DBAE504">
      <w:pPr>
        <w:spacing w:after="80"/>
      </w:pPr>
    </w:p>
    <w:p w14:paraId="63DEF9DD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所有跨帧特征以人体框尺度进行归一化：关节坐标采用相对人体中心与宽高的表示，Bone 为相邻关节的有向差，Motion 为相邻时刻的坐标差。这样可降低拍摄距离和人体大小变化对时序量纲的影响；缺失帧不被伪造为真实姿态，而由 valid_mask 显式通知后续模块。</w:t>
      </w:r>
    </w:p>
    <w:p w14:paraId="4CF4B0DF">
      <w:pPr>
        <w:pStyle w:val="4"/>
        <w:ind w:firstLine="0"/>
      </w:pPr>
      <w:r>
        <w:rPr>
          <w:rFonts w:ascii="Times New Roman" w:hAnsi="Times New Roman" w:eastAsia="黑体"/>
          <w:b/>
          <w:sz w:val="30"/>
        </w:rPr>
        <w:t>3.2  姿态轨迹与候选事件</w:t>
      </w:r>
    </w:p>
    <w:p w14:paraId="3370008F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每帧姿态检测输出 17 个 COCO 关键点、人体框和置信度。MultiPoseTracker 通过 IoU 匹配与中心速度预测维持 track_id；人数变化和短时漏检通过 valid_mask 与零填充显式表示。候选事件模块对每条轨迹计算人体框中心下移、宽高比变化及横向姿态增益，并在因果回看窗口内形成运动分数。</w:t>
      </w:r>
    </w:p>
    <w:p w14:paraId="130B4728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候选轨迹只用于定位需要进一步分析和展示的片段，并不读取真实人物 ID。烟测片段中，系统选择 track_id=3，候选区间为 0.77-4.77 s，运动峰值位于 2.77 s。</w:t>
      </w:r>
    </w:p>
    <w:p w14:paraId="1AE4ACCD">
      <w:r>
        <w:br w:type="page"/>
      </w:r>
    </w:p>
    <w:p w14:paraId="3D7F20D9">
      <w:pPr>
        <w:pStyle w:val="4"/>
        <w:ind w:firstLine="0"/>
      </w:pPr>
      <w:r>
        <w:rPr>
          <w:rFonts w:ascii="Times New Roman" w:hAnsi="Times New Roman" w:eastAsia="黑体"/>
          <w:b/>
          <w:sz w:val="30"/>
        </w:rPr>
        <w:t>3.3  双尺度时序编码与七头融合</w:t>
      </w:r>
    </w:p>
    <w:p w14:paraId="3FFE6622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骨架编码器包含 Joint、Bone、Motion、Geometry、Rule 与 Kinematics 六类流。Joint/Bone 表达姿态拓扑，Motion 表达帧间变化，Geometry/Rule/Kinematics 提供框尺度、相对位置和运动学统计。各流通过轻量因果时序卷积与 Joint-only Transformer 汇聚为 384 维人物 embedding。</w:t>
      </w:r>
    </w:p>
    <w:p w14:paraId="73BB8ED9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短时路径以最近 16 帧为因果窗口，只访问当前及历史帧，并通过因果时序卷积和 Joint-only Transformer 提炼局部姿态变化与关节协同；长时路径沿用同一特征定义、扩展为连续 48 帧，用于区分持续倒地与短暂弯腰、坐下或遮挡。</w:t>
      </w:r>
    </w:p>
    <w:p w14:paraId="68353F10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ROI 分支复用姿态主干的中间特征，并按同一 track_id 的人体框提取 person ROI token。320/640 两种尺度分别服务于低开销区域证据和更丰富的局部外观信息；骨架与 ROI 始终按同一人、同一时间窗对齐。</w:t>
      </w:r>
    </w:p>
    <w:tbl>
      <w:tblPr>
        <w:tblStyle w:val="33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800"/>
        <w:gridCol w:w="2700"/>
        <w:gridCol w:w="3020"/>
      </w:tblGrid>
      <w:tr w14:paraId="4D36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vAlign w:val="center"/>
          </w:tcPr>
          <w:p w14:paraId="2F734620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成员</w:t>
            </w:r>
          </w:p>
        </w:tc>
        <w:tc>
          <w:tcPr>
            <w:tcW w:w="1800" w:type="dxa"/>
            <w:vAlign w:val="center"/>
          </w:tcPr>
          <w:p w14:paraId="34E2284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骨架窗口</w:t>
            </w:r>
          </w:p>
        </w:tc>
        <w:tc>
          <w:tcPr>
            <w:tcW w:w="2700" w:type="dxa"/>
            <w:vAlign w:val="center"/>
          </w:tcPr>
          <w:p w14:paraId="2AE36FF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ROI 输入</w:t>
            </w:r>
          </w:p>
        </w:tc>
        <w:tc>
          <w:tcPr>
            <w:tcW w:w="3020" w:type="dxa"/>
            <w:vAlign w:val="center"/>
          </w:tcPr>
          <w:p w14:paraId="7E86460F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作用</w:t>
            </w:r>
          </w:p>
        </w:tc>
      </w:tr>
      <w:tr w14:paraId="6EBD9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1A0D49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H1-H3</w:t>
            </w:r>
          </w:p>
        </w:tc>
        <w:tc>
          <w:tcPr>
            <w:tcW w:w="1800" w:type="dxa"/>
          </w:tcPr>
          <w:p w14:paraId="6D2FF2C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16 帧</w:t>
            </w:r>
          </w:p>
        </w:tc>
        <w:tc>
          <w:tcPr>
            <w:tcW w:w="2700" w:type="dxa"/>
          </w:tcPr>
          <w:p w14:paraId="24D8001C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320 person ROI</w:t>
            </w:r>
          </w:p>
        </w:tc>
        <w:tc>
          <w:tcPr>
            <w:tcW w:w="3020" w:type="dxa"/>
          </w:tcPr>
          <w:p w14:paraId="2028FC8F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短时运动 + 中分辨率人体视觉，多种随机种子</w:t>
            </w:r>
          </w:p>
        </w:tc>
      </w:tr>
      <w:tr w14:paraId="43360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7227CCC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H4-H6</w:t>
            </w:r>
          </w:p>
        </w:tc>
        <w:tc>
          <w:tcPr>
            <w:tcW w:w="1800" w:type="dxa"/>
          </w:tcPr>
          <w:p w14:paraId="3050CA7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16 帧</w:t>
            </w:r>
          </w:p>
        </w:tc>
        <w:tc>
          <w:tcPr>
            <w:tcW w:w="2700" w:type="dxa"/>
          </w:tcPr>
          <w:p w14:paraId="1B676C2C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640 person ROI</w:t>
            </w:r>
          </w:p>
        </w:tc>
        <w:tc>
          <w:tcPr>
            <w:tcW w:w="3020" w:type="dxa"/>
          </w:tcPr>
          <w:p w14:paraId="5DB1A8FD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短时运动 + 高分辨率人体视觉，多种随机种子</w:t>
            </w:r>
          </w:p>
        </w:tc>
      </w:tr>
      <w:tr w14:paraId="322C2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753BE1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H7</w:t>
            </w:r>
          </w:p>
        </w:tc>
        <w:tc>
          <w:tcPr>
            <w:tcW w:w="1800" w:type="dxa"/>
          </w:tcPr>
          <w:p w14:paraId="5F3130F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48 帧</w:t>
            </w:r>
          </w:p>
        </w:tc>
        <w:tc>
          <w:tcPr>
            <w:tcW w:w="2700" w:type="dxa"/>
          </w:tcPr>
          <w:p w14:paraId="54AEA22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320 person ROI</w:t>
            </w:r>
          </w:p>
        </w:tc>
        <w:tc>
          <w:tcPr>
            <w:tcW w:w="3020" w:type="dxa"/>
          </w:tcPr>
          <w:p w14:paraId="0FB27C5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补充连续长时上下文与成员互补性</w:t>
            </w:r>
          </w:p>
        </w:tc>
      </w:tr>
      <w:tr w14:paraId="43AC0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40E016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Fusion</w:t>
            </w:r>
          </w:p>
        </w:tc>
        <w:tc>
          <w:tcPr>
            <w:tcW w:w="1800" w:type="dxa"/>
          </w:tcPr>
          <w:p w14:paraId="46981460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clip 级</w:t>
            </w:r>
          </w:p>
        </w:tc>
        <w:tc>
          <w:tcPr>
            <w:tcW w:w="2700" w:type="dxa"/>
          </w:tcPr>
          <w:p w14:paraId="1C0703B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 raw logits</w:t>
            </w:r>
          </w:p>
        </w:tc>
        <w:tc>
          <w:tcPr>
            <w:tcW w:w="3020" w:type="dxa"/>
          </w:tcPr>
          <w:p w14:paraId="4AFD3C7C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z̄=(1/7)Σzᵢ，score=sigmoid(z̄)</w:t>
            </w:r>
          </w:p>
        </w:tc>
      </w:tr>
    </w:tbl>
    <w:p w14:paraId="2BD5ABE3">
      <w:pPr>
        <w:spacing w:after="80"/>
      </w:pPr>
    </w:p>
    <w:p w14:paraId="2998FC48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每个成员头先生成一个未归一化 logit z_i，而不是分别在各头上提前截断为概率。部署阶段的唯一融合规则为 z̄=(1/7)Σ_i z_i，score=σ(z̄)。该顺序保证七个成员具有相同的贡献权重，并使输出可由保存的 member_logits 逐项复算；候选事件只负责标记需要展示或复核的时间段，不参与在现场修改融合权重。</w:t>
      </w:r>
    </w:p>
    <w:p w14:paraId="2DB105A2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头部训练采用 balanced focal loss，并以动作子类辅助损失塑造表示；骨架与分类头各训练 12 epochs。冻结运行包保存了训练配置和最终权重，但不包含完整逐 epoch loss 日志，因此本文不生成虚构的训练损失曲线，而使用有原始配对审计支撑的结构搜索收敛轨迹。</w:t>
      </w:r>
    </w:p>
    <w:p w14:paraId="2955C108">
      <w:pPr>
        <w:pStyle w:val="4"/>
        <w:ind w:firstLine="0"/>
      </w:pPr>
      <w:r>
        <w:rPr>
          <w:rFonts w:ascii="Times New Roman" w:hAnsi="Times New Roman" w:eastAsia="黑体"/>
          <w:b/>
          <w:sz w:val="30"/>
        </w:rPr>
        <w:t>3.4  训练、验证与模型选择</w:t>
      </w:r>
    </w:p>
    <w:p w14:paraId="1E4FAC39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dense-48 候选在固定五折 template-grouped train-OOF 协议下与原六头基线进行逐 clip 配对。七头方案总体 mAP 从 70.831% 提升至 72.166%，2000 次 template-group paired bootstrap 给出的 mAP 增益 95% CI 为 [+0.055,+2.333] 个百分点。虽然 fold 2 出现 -0.456 点波动，其余四折均提升，且最弱 fold 3 提升 2.375 点。</w:t>
      </w:r>
    </w:p>
    <w:p w14:paraId="71F27416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进一步加入置信度约束 Part-ROI 第八头或以其替换既有成员时，总体 mAP 分别降至 71.947% 和 71.902%，因此未进入冻结模型。该过程体现了预注册式模型选择原则：只有在相同身份、相同聚合与相同指标实现下带来配对增益的成员才能晋级。</w:t>
      </w:r>
    </w:p>
    <w:p w14:paraId="1B022B94">
      <w:pPr>
        <w:pStyle w:val="4"/>
        <w:ind w:firstLine="0"/>
      </w:pPr>
      <w:r>
        <w:rPr>
          <w:rFonts w:ascii="Times New Roman" w:hAnsi="Times New Roman" w:eastAsia="黑体"/>
          <w:b/>
          <w:sz w:val="30"/>
        </w:rPr>
        <w:t>3.5  推理结果与运行证据</w:t>
      </w:r>
    </w:p>
    <w:p w14:paraId="1689F33D">
      <w:pPr>
        <w:jc w:val="center"/>
      </w:pPr>
      <w:r>
        <w:drawing>
          <wp:inline distT="0" distB="0" distL="114300" distR="114300">
            <wp:extent cx="5579745" cy="2120265"/>
            <wp:effectExtent l="0" t="0" r="8255" b="635"/>
            <wp:docPr id="3" name="Picture 3" descr="Image: 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: image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6972">
      <w:pPr>
        <w:spacing w:after="160" w:line="360" w:lineRule="auto"/>
        <w:jc w:val="center"/>
      </w:pPr>
      <w:r>
        <w:rPr>
          <w:rFonts w:ascii="Times New Roman" w:hAnsi="Times New Roman" w:eastAsia="宋体"/>
          <w:b w:val="0"/>
          <w:sz w:val="19"/>
        </w:rPr>
        <w:t>图 3  端到端烟测的运行时证据。左图为 160 帧 CPU 烟测的平均耗时分解，中图为同一片段七个成员 raw logits，右图为完全由姿态运动生成的候选区间。</w:t>
      </w:r>
    </w:p>
    <w:p w14:paraId="3C8B1051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对 URFD fall-01-cam1 的 160 帧输入，系统完整执行视频解码、姿态、ROI、骨架时序和七头融合，输出 clip score=0.178005。七个成员 logit 分布并不相同，说明最终分数不是重复复制单一输出；固定平均使每个成员贡献可直接复算。</w:t>
      </w:r>
    </w:p>
    <w:tbl>
      <w:tblPr>
        <w:tblStyle w:val="33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700"/>
        <w:gridCol w:w="3420"/>
      </w:tblGrid>
      <w:tr w14:paraId="29509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vAlign w:val="center"/>
          </w:tcPr>
          <w:p w14:paraId="1880B99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证据对象</w:t>
            </w:r>
          </w:p>
        </w:tc>
        <w:tc>
          <w:tcPr>
            <w:tcW w:w="3700" w:type="dxa"/>
            <w:vAlign w:val="center"/>
          </w:tcPr>
          <w:p w14:paraId="7EB3BE0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  <w:tc>
          <w:tcPr>
            <w:tcW w:w="3420" w:type="dxa"/>
            <w:vAlign w:val="center"/>
          </w:tcPr>
          <w:p w14:paraId="73D4D87C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来源/口径</w:t>
            </w:r>
          </w:p>
        </w:tc>
      </w:tr>
      <w:tr w14:paraId="18974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40B2F2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OF-Syn validation</w:t>
            </w:r>
          </w:p>
        </w:tc>
        <w:tc>
          <w:tcPr>
            <w:tcW w:w="3700" w:type="dxa"/>
          </w:tcPr>
          <w:p w14:paraId="0F234435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mAP 75.208%；P@R90 77.907%；P@R95 72.509%</w:t>
            </w:r>
          </w:p>
        </w:tc>
        <w:tc>
          <w:tcPr>
            <w:tcW w:w="3420" w:type="dxa"/>
          </w:tcPr>
          <w:p w14:paraId="3DE6B794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冻结运行包 README；1,200 clips</w:t>
            </w:r>
          </w:p>
        </w:tc>
      </w:tr>
      <w:tr w14:paraId="02EC4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1A0BFBF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完整视频基准</w:t>
            </w:r>
          </w:p>
        </w:tc>
        <w:tc>
          <w:tcPr>
            <w:tcW w:w="3700" w:type="dxa"/>
          </w:tcPr>
          <w:p w14:paraId="0EC2C1D3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15.45 ms/frame</w:t>
            </w:r>
          </w:p>
        </w:tc>
        <w:tc>
          <w:tcPr>
            <w:tcW w:w="3420" w:type="dxa"/>
          </w:tcPr>
          <w:p w14:paraId="428157F2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冻结运行记录；3,960 帧平均</w:t>
            </w:r>
          </w:p>
        </w:tc>
      </w:tr>
      <w:tr w14:paraId="26B09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15B2CBA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本机 CPU 烟测</w:t>
            </w:r>
          </w:p>
        </w:tc>
        <w:tc>
          <w:tcPr>
            <w:tcW w:w="3700" w:type="dxa"/>
          </w:tcPr>
          <w:p w14:paraId="02B13013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49.80 ms/frame</w:t>
            </w:r>
          </w:p>
        </w:tc>
        <w:tc>
          <w:tcPr>
            <w:tcW w:w="3420" w:type="dxa"/>
          </w:tcPr>
          <w:p w14:paraId="5EE91EC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160 帧端到端功能核验</w:t>
            </w:r>
          </w:p>
        </w:tc>
      </w:tr>
      <w:tr w14:paraId="58F61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340A618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模型规模</w:t>
            </w:r>
          </w:p>
        </w:tc>
        <w:tc>
          <w:tcPr>
            <w:tcW w:w="3700" w:type="dxa"/>
          </w:tcPr>
          <w:p w14:paraId="2377E55D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4.053M；15.46 MiB FP32</w:t>
            </w:r>
          </w:p>
        </w:tc>
        <w:tc>
          <w:tcPr>
            <w:tcW w:w="3420" w:type="dxa"/>
          </w:tcPr>
          <w:p w14:paraId="4BB0FB7F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共享 YOLO、骨架与七头</w:t>
            </w:r>
          </w:p>
        </w:tc>
      </w:tr>
      <w:tr w14:paraId="5BA4D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BF74C0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交付完整性</w:t>
            </w:r>
          </w:p>
        </w:tc>
        <w:tc>
          <w:tcPr>
            <w:tcW w:w="3700" w:type="dxa"/>
          </w:tcPr>
          <w:p w14:paraId="3B2C835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174 个文件</w:t>
            </w:r>
          </w:p>
        </w:tc>
        <w:tc>
          <w:tcPr>
            <w:tcW w:w="3420" w:type="dxa"/>
          </w:tcPr>
          <w:p w14:paraId="0C6A1ED3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MANIFEST.json 逐文件 SHA-256</w:t>
            </w:r>
          </w:p>
        </w:tc>
      </w:tr>
    </w:tbl>
    <w:p w14:paraId="6036AED5">
      <w:pPr>
        <w:spacing w:after="80"/>
      </w:pPr>
    </w:p>
    <w:p w14:paraId="04300AB5">
      <w:pPr>
        <w:pStyle w:val="4"/>
        <w:ind w:firstLine="0"/>
      </w:pPr>
      <w:r>
        <w:rPr>
          <w:rFonts w:ascii="Times New Roman" w:hAnsi="Times New Roman" w:eastAsia="黑体"/>
          <w:b/>
          <w:sz w:val="30"/>
        </w:rPr>
        <w:t>3.6  工程化、复现与风险控制</w:t>
      </w:r>
    </w:p>
    <w:p w14:paraId="235A8595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运行包以 protocol=edgefall_seven_head_label_blind_runtime_v1 固定输入输出契约，并在 MANIFEST.json 中记录融合规则、模型和源码哈希。批量推理时复用模型实例以避免重复加载；结果 JSON 保存 fps、frames、proposal、member_logits、score 和各阶段耗时。</w:t>
      </w:r>
    </w:p>
    <w:tbl>
      <w:tblPr>
        <w:tblStyle w:val="33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600"/>
        <w:gridCol w:w="4520"/>
      </w:tblGrid>
      <w:tr w14:paraId="004C9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vAlign w:val="center"/>
          </w:tcPr>
          <w:p w14:paraId="31219A5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风险</w:t>
            </w:r>
          </w:p>
        </w:tc>
        <w:tc>
          <w:tcPr>
            <w:tcW w:w="2600" w:type="dxa"/>
            <w:vAlign w:val="center"/>
          </w:tcPr>
          <w:p w14:paraId="399834D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影响</w:t>
            </w:r>
          </w:p>
        </w:tc>
        <w:tc>
          <w:tcPr>
            <w:tcW w:w="4520" w:type="dxa"/>
            <w:vAlign w:val="center"/>
          </w:tcPr>
          <w:p w14:paraId="6AC2A5E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控制措施</w:t>
            </w:r>
          </w:p>
        </w:tc>
      </w:tr>
      <w:tr w14:paraId="3D011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493778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遮挡或多人交互</w:t>
            </w:r>
          </w:p>
        </w:tc>
        <w:tc>
          <w:tcPr>
            <w:tcW w:w="2600" w:type="dxa"/>
          </w:tcPr>
          <w:p w14:paraId="6A7AA4C0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姿态漏检、轨迹切换</w:t>
            </w:r>
          </w:p>
        </w:tc>
        <w:tc>
          <w:tcPr>
            <w:tcW w:w="4520" w:type="dxa"/>
          </w:tcPr>
          <w:p w14:paraId="37F71423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保留 valid_mask、track_id 与候选区间，部署场景独立验证</w:t>
            </w:r>
          </w:p>
        </w:tc>
      </w:tr>
      <w:tr w14:paraId="5F29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51C7DFF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摄像机视角变化</w:t>
            </w:r>
          </w:p>
        </w:tc>
        <w:tc>
          <w:tcPr>
            <w:tcW w:w="2600" w:type="dxa"/>
          </w:tcPr>
          <w:p w14:paraId="3E46FB3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人体尺度与运动方向变化</w:t>
            </w:r>
          </w:p>
        </w:tc>
        <w:tc>
          <w:tcPr>
            <w:tcW w:w="4520" w:type="dxa"/>
          </w:tcPr>
          <w:p w14:paraId="0A7577C6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人体归一化、ROI token 和跨场景样本补充</w:t>
            </w:r>
          </w:p>
        </w:tc>
      </w:tr>
      <w:tr w14:paraId="60B29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CCEDCCC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误报带来的处置成本</w:t>
            </w:r>
          </w:p>
        </w:tc>
        <w:tc>
          <w:tcPr>
            <w:tcW w:w="2600" w:type="dxa"/>
          </w:tcPr>
          <w:p w14:paraId="6702065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无效告警</w:t>
            </w:r>
          </w:p>
        </w:tc>
        <w:tc>
          <w:tcPr>
            <w:tcW w:w="4520" w:type="dxa"/>
          </w:tcPr>
          <w:p w14:paraId="04F10CE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高召回区指标、人工复核和告警审计</w:t>
            </w:r>
          </w:p>
        </w:tc>
      </w:tr>
      <w:tr w14:paraId="6B8AA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783B2A55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隐私与合规</w:t>
            </w:r>
          </w:p>
        </w:tc>
        <w:tc>
          <w:tcPr>
            <w:tcW w:w="2600" w:type="dxa"/>
          </w:tcPr>
          <w:p w14:paraId="2B681E46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视频涉及个人信息</w:t>
            </w:r>
          </w:p>
        </w:tc>
        <w:tc>
          <w:tcPr>
            <w:tcW w:w="4520" w:type="dxa"/>
          </w:tcPr>
          <w:p w14:paraId="5AFA59AF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本地推理、最小留存、访问控制和授权采集</w:t>
            </w:r>
          </w:p>
        </w:tc>
      </w:tr>
      <w:tr w14:paraId="49AE9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5F4CEB3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版本漂移</w:t>
            </w:r>
          </w:p>
        </w:tc>
        <w:tc>
          <w:tcPr>
            <w:tcW w:w="2600" w:type="dxa"/>
          </w:tcPr>
          <w:p w14:paraId="7F867A62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结果不可复现</w:t>
            </w:r>
          </w:p>
        </w:tc>
        <w:tc>
          <w:tcPr>
            <w:tcW w:w="4520" w:type="dxa"/>
          </w:tcPr>
          <w:p w14:paraId="2699AFA8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冻结依赖、权重与 SHA-256 清单</w:t>
            </w:r>
          </w:p>
        </w:tc>
      </w:tr>
    </w:tbl>
    <w:p w14:paraId="18947E6E">
      <w:pPr>
        <w:spacing w:after="80"/>
      </w:pPr>
    </w:p>
    <w:p w14:paraId="5C821510">
      <w:pPr>
        <w:pStyle w:val="3"/>
        <w:ind w:firstLine="0"/>
      </w:pPr>
      <w:r>
        <w:rPr>
          <w:rFonts w:ascii="Times New Roman" w:hAnsi="Times New Roman" w:eastAsia="黑体"/>
          <w:b/>
          <w:sz w:val="36"/>
        </w:rPr>
        <w:t>4  结论与潜在应用</w:t>
      </w:r>
    </w:p>
    <w:p w14:paraId="2ED5A6CC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本项目构建了从普通 RGB 视频到可解释跌倒风险输出的完整闭环。其主要贡献不是简单增加分类头数量，而是在共享视觉主干和低参数预算下，将 16 帧短时运动、48 帧长时上下文与人体 ROI 视觉证据按固定规则组合，并通过五折配对审计筛选互补成员。最终运行包保留候选区间、成员 logits、融合分数与文件哈希，使模型效果、运行过程和工程交付能够被分别复核。</w:t>
      </w:r>
    </w:p>
    <w:p w14:paraId="2AD82BE1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从模型设计看，4.053M 参数的七头系统将姿态几何、帧间运动和共享 ROI 外观证据分层处理：姿态主干负责提供 17 点与人体框，跟踪模块保证证据以人而非以帧为单位累计，双尺度因果编码器覆盖突发下坠与倒地后的持续状态，固定 logit 融合则避免现场调权带来的不可复现性。该分工使系统既能保留轻量部署特征，也能输出可解释的中间证据。</w:t>
      </w:r>
    </w:p>
    <w:p w14:paraId="07E26C68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业务流程中，模型的定位是“风险发现—人工复核—事件留档”的第一环。摄像头输入经本地推理后，仅将候选时间段、track_id、风险分数和成员输出交给值守人员；值守人员结合原始视频、现场情况和既有处置规范确认是否升级通知。由此，算法输出不会被直接等同于医疗诊断或自动处置结论，而是成为缩短人工回看范围的辅助信息。</w:t>
      </w:r>
    </w:p>
    <w:tbl>
      <w:tblPr>
        <w:tblStyle w:val="33"/>
        <w:tblW w:w="9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400"/>
        <w:gridCol w:w="3000"/>
        <w:gridCol w:w="1920"/>
      </w:tblGrid>
      <w:tr w14:paraId="66A30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vAlign w:val="center"/>
          </w:tcPr>
          <w:p w14:paraId="1A061A0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环节</w:t>
            </w:r>
          </w:p>
        </w:tc>
        <w:tc>
          <w:tcPr>
            <w:tcW w:w="2400" w:type="dxa"/>
            <w:vAlign w:val="center"/>
          </w:tcPr>
          <w:p w14:paraId="135C0FA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系统输出</w:t>
            </w:r>
          </w:p>
        </w:tc>
        <w:tc>
          <w:tcPr>
            <w:tcW w:w="3000" w:type="dxa"/>
            <w:vAlign w:val="center"/>
          </w:tcPr>
          <w:p w14:paraId="3C012CB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人员/系统职责</w:t>
            </w:r>
          </w:p>
        </w:tc>
        <w:tc>
          <w:tcPr>
            <w:tcW w:w="1920" w:type="dxa"/>
            <w:vAlign w:val="center"/>
          </w:tcPr>
          <w:p w14:paraId="0A1E03C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可审计证据</w:t>
            </w:r>
          </w:p>
        </w:tc>
      </w:tr>
      <w:tr w14:paraId="04E87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6E1F5B0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风险筛查</w:t>
            </w:r>
          </w:p>
        </w:tc>
        <w:tc>
          <w:tcPr>
            <w:tcW w:w="2400" w:type="dxa"/>
          </w:tcPr>
          <w:p w14:paraId="755EC02C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clip score 与候选时间段</w:t>
            </w:r>
          </w:p>
        </w:tc>
        <w:tc>
          <w:tcPr>
            <w:tcW w:w="3000" w:type="dxa"/>
          </w:tcPr>
          <w:p w14:paraId="6A4EC269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发现需要回看的片段，不自动下医疗结论</w:t>
            </w:r>
          </w:p>
        </w:tc>
        <w:tc>
          <w:tcPr>
            <w:tcW w:w="1920" w:type="dxa"/>
          </w:tcPr>
          <w:p w14:paraId="3E62B72D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proposal、运动峰值、视频时间戳</w:t>
            </w:r>
          </w:p>
        </w:tc>
      </w:tr>
      <w:tr w14:paraId="051B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428BF83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人工复核</w:t>
            </w:r>
          </w:p>
        </w:tc>
        <w:tc>
          <w:tcPr>
            <w:tcW w:w="2400" w:type="dxa"/>
          </w:tcPr>
          <w:p w14:paraId="07A41E1F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原视频与姿态轨迹</w:t>
            </w:r>
          </w:p>
        </w:tc>
        <w:tc>
          <w:tcPr>
            <w:tcW w:w="3000" w:type="dxa"/>
          </w:tcPr>
          <w:p w14:paraId="15024E9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核验遮挡、坐下、弯腰等易混淆场景</w:t>
            </w:r>
          </w:p>
        </w:tc>
        <w:tc>
          <w:tcPr>
            <w:tcW w:w="1920" w:type="dxa"/>
          </w:tcPr>
          <w:p w14:paraId="4AAC467D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track_id、关键点与 ROI 对齐记录</w:t>
            </w:r>
          </w:p>
        </w:tc>
      </w:tr>
      <w:tr w14:paraId="45FEF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76FE4A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通知与登记</w:t>
            </w:r>
          </w:p>
        </w:tc>
        <w:tc>
          <w:tcPr>
            <w:tcW w:w="2400" w:type="dxa"/>
          </w:tcPr>
          <w:p w14:paraId="1161C25D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结构化 JSON</w:t>
            </w:r>
          </w:p>
        </w:tc>
        <w:tc>
          <w:tcPr>
            <w:tcW w:w="3000" w:type="dxa"/>
          </w:tcPr>
          <w:p w14:paraId="76FCC29C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按场景规范通知并登记处置结果</w:t>
            </w:r>
          </w:p>
        </w:tc>
        <w:tc>
          <w:tcPr>
            <w:tcW w:w="1920" w:type="dxa"/>
          </w:tcPr>
          <w:p w14:paraId="31CFE698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成员 logits、融合分数、事件编号</w:t>
            </w:r>
          </w:p>
        </w:tc>
      </w:tr>
      <w:tr w14:paraId="14EDA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360FB6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持续改进</w:t>
            </w:r>
          </w:p>
        </w:tc>
        <w:tc>
          <w:tcPr>
            <w:tcW w:w="2400" w:type="dxa"/>
          </w:tcPr>
          <w:p w14:paraId="28A06F35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脱敏的误报/漏报回流</w:t>
            </w:r>
          </w:p>
        </w:tc>
        <w:tc>
          <w:tcPr>
            <w:tcW w:w="3000" w:type="dxa"/>
          </w:tcPr>
          <w:p w14:paraId="3E5F36E6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独立验证阈值、鲁棒性与成本</w:t>
            </w:r>
          </w:p>
        </w:tc>
        <w:tc>
          <w:tcPr>
            <w:tcW w:w="1920" w:type="dxa"/>
          </w:tcPr>
          <w:p w14:paraId="3FCDE03B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版本号、数据边界、SHA-256 清单</w:t>
            </w:r>
          </w:p>
        </w:tc>
      </w:tr>
    </w:tbl>
    <w:p w14:paraId="36C9019A">
      <w:pPr>
        <w:spacing w:after="80"/>
      </w:pPr>
    </w:p>
    <w:p w14:paraId="0DBDEFC1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养老机构、家庭看护、康复训练和病房辅助值守中，后续产品化应围绕目标场景建立独立的数据闭环，并优先验证遮挡、多人交互、镜头视角变化和不同光照条件下的鲁棒性。同时应落实最小化采集、本地处理、分级访问、告知授权与留存期限等隐私治理措施；对于误报带来的人员负担，则以高召回区间指标、人工复核时间和处置成本共同评估。</w:t>
      </w:r>
    </w:p>
    <w:p w14:paraId="110484D3"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冻结的模型、协议和清单提供了可复现实验与演示的起点，但不替代真实场景的前瞻性验证。下一阶段将以统一标注口径开展跨场景测试，报告按人群、遮挡程度、机位和事件类型分层的结果，并在不改变冻结基线的前提下比较阈值策略和告警交互设计。</w:t>
      </w:r>
    </w:p>
    <w:p w14:paraId="5A29F86F">
      <w:r>
        <w:br w:type="page"/>
      </w:r>
    </w:p>
    <w:p w14:paraId="57B78C18">
      <w:pPr>
        <w:pStyle w:val="3"/>
        <w:ind w:firstLine="0"/>
      </w:pPr>
      <w:r>
        <w:rPr>
          <w:rFonts w:ascii="Times New Roman" w:hAnsi="Times New Roman" w:eastAsia="黑体"/>
          <w:b/>
          <w:sz w:val="36"/>
        </w:rPr>
        <w:t>5  参考资料</w:t>
      </w:r>
    </w:p>
    <w:p w14:paraId="7B3CCAD6"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1"/>
        </w:rPr>
        <w:t>Khanam, R., &amp; Hussain, M. (2024). YOLOv11: An overview of the key architectural enhancements. arXiv. https://arxiv.org/abs/2410.17725</w:t>
      </w:r>
    </w:p>
    <w:p w14:paraId="657F1C58"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1"/>
        </w:rPr>
        <w:t>Kępski, M. (n.d.). UR fall detection dataset. University of Rzeszów. Retrieved September 1, 2026, from https://www.fenix.ur.edu.pl/~mkepski/ds/uf.html</w:t>
      </w:r>
    </w:p>
    <w:p w14:paraId="2187E166"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1"/>
        </w:rPr>
        <w:t>Kępski, M., &amp; Kwolek, B. (2018). Event-driven system for fall detection using body-worn accelerometer and depth sensor. IET Computer Vision, 12(1), 48–58. https://doi.org/10.1049/iet-cvi.2017.0119</w:t>
      </w:r>
    </w:p>
    <w:p w14:paraId="6027FD2C"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1"/>
        </w:rPr>
        <w:t>Schneider, D., Marinov, Z., Baur, R., Zhong, Z., Düger, R., &amp; Stiefelhagen, R. (2025). OmniFall: A unified staged-to-wild benchmark for human fall detection. arXiv. https://arxiv.org/abs/2505.19889</w:t>
      </w:r>
    </w:p>
    <w:sectPr>
      <w:headerReference r:id="rId11" w:type="default"/>
      <w:footerReference r:id="rId12" w:type="default"/>
      <w:pgSz w:w="11906" w:h="16838"/>
      <w:pgMar w:top="1440" w:right="1440" w:bottom="1440" w:left="144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1E3F0">
    <w:pPr>
      <w:pStyle w:val="24"/>
      <w:jc w:val="center"/>
    </w:pPr>
    <w:r>
      <w:rPr>
        <w:rFonts w:ascii="Times New Roman" w:hAnsi="Times New Roman" w:eastAsia="宋体"/>
        <w:b w:val="0"/>
        <w:sz w:val="18"/>
      </w:rPr>
      <w:t>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6FEC0">
    <w:pPr>
      <w:pStyle w:val="24"/>
      <w:jc w:val="center"/>
    </w:pPr>
    <w:r>
      <w:rPr>
        <w:rFonts w:ascii="Times New Roman" w:hAnsi="Times New Roman" w:eastAsia="宋体"/>
        <w:b w:val="0"/>
        <w:sz w:val="18"/>
      </w:rPr>
      <w:t>II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6B0BD">
    <w:pPr>
      <w:pStyle w:val="24"/>
      <w:jc w:val="center"/>
    </w:pPr>
    <w:r>
      <w:rPr>
        <w:rFonts w:ascii="Times New Roman" w:hAnsi="Times New Roman" w:eastAsia="宋体"/>
        <w:b w:val="0"/>
        <w:sz w:val="18"/>
      </w:rPr>
      <w:t>III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4754A">
    <w:pPr>
      <w:pStyle w:val="24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separate"/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A5995">
    <w:pPr>
      <w:pStyle w:val="25"/>
      <w:pBdr>
        <w:bottom w:val="single" w:color="000000" w:sz="8" w:space="1"/>
      </w:pBdr>
      <w:jc w:val="center"/>
    </w:pPr>
    <w:r>
      <w:rPr>
        <w:rFonts w:ascii="Times New Roman" w:hAnsi="Times New Roman" w:eastAsia="宋体"/>
        <w:b w:val="0"/>
        <w:sz w:val="18"/>
      </w:rPr>
      <w:t>面向低算力平台的实时跌倒检测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97569">
    <w:pPr>
      <w:pStyle w:val="25"/>
      <w:pBdr>
        <w:bottom w:val="single" w:color="000000" w:sz="8" w:space="1"/>
      </w:pBdr>
      <w:jc w:val="center"/>
    </w:pPr>
    <w:r>
      <w:rPr>
        <w:rFonts w:ascii="Times New Roman" w:hAnsi="Times New Roman" w:eastAsia="宋体"/>
        <w:b w:val="0"/>
        <w:sz w:val="18"/>
      </w:rPr>
      <w:t>面向低算力平台的实时跌倒检测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444FF">
    <w:pPr>
      <w:pStyle w:val="25"/>
      <w:pBdr>
        <w:bottom w:val="single" w:color="000000" w:sz="8" w:space="1"/>
      </w:pBdr>
      <w:jc w:val="center"/>
    </w:pPr>
    <w:r>
      <w:rPr>
        <w:rFonts w:ascii="Times New Roman" w:hAnsi="Times New Roman" w:eastAsia="宋体"/>
        <w:b w:val="0"/>
        <w:sz w:val="18"/>
      </w:rPr>
      <w:t>面向低算力平台的实时跌倒检测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429CA">
    <w:pPr>
      <w:pStyle w:val="25"/>
      <w:pBdr>
        <w:bottom w:val="single" w:color="000000" w:sz="8" w:space="1"/>
      </w:pBdr>
      <w:jc w:val="center"/>
    </w:pPr>
    <w:r>
      <w:rPr>
        <w:rFonts w:ascii="Times New Roman" w:hAnsi="Times New Roman" w:eastAsia="宋体"/>
        <w:b w:val="0"/>
        <w:sz w:val="18"/>
      </w:rPr>
      <w:t>面向低算力平台的实时跌倒检测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1F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24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0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5130</Words>
  <Characters>7130</Characters>
  <Lines>0</Lines>
  <Paragraphs>0</Paragraphs>
  <TotalTime>0</TotalTime>
  <ScaleCrop>false</ScaleCrop>
  <LinksUpToDate>false</LinksUpToDate>
  <CharactersWithSpaces>7648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抹茶吃不饱</dc:creator>
  <dc:description>generated by python-docx</dc:description>
  <cp:lastModifiedBy>吴金山</cp:lastModifiedBy>
  <dcterms:modified xsi:type="dcterms:W3CDTF">2026-09-01T13:53:12Z</dcterms:modified>
  <dc:subject>第八届中国研究生人工智能创新大赛项目文档（学术增强版）</dc:subject>
  <dc:title>面向低算力平台的实时跌倒检测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eyJoZGlkIjoiOGFmMTQyMDUzZTI2YzQ4YTQ3NjA1MjA3MjhhYzEyMjYiLCJ1c2VySWQiOiIxNzI1OTYxOTU1In0=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690D438CB05E4978B9CD220693C00246_12</vt:lpwstr>
  </property>
</Properties>
</file>