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764DD">
      <w:pPr>
        <w:keepNext w:val="0"/>
        <w:keepLines w:val="0"/>
        <w:widowControl/>
        <w:suppressLineNumbers w:val="0"/>
        <w:shd w:val="clear" w:fill="FFFFFF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shd w:val="clear" w:fill="FFFFFF"/>
          <w:lang w:val="en-US" w:eastAsia="zh-CN" w:bidi="ar"/>
        </w:rPr>
        <w:t>赛题名称</w:t>
      </w:r>
    </w:p>
    <w:p w14:paraId="5AC1DA32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spacing w:after="16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shd w:val="clear" w:fill="FFFFFF"/>
          <w:lang w:val="en-US" w:eastAsia="zh-CN" w:bidi="ar"/>
        </w:rPr>
        <w:t>企业赛题-面向低算力端侧平台基于视觉的实时跌倒检测</w:t>
      </w:r>
    </w:p>
    <w:p w14:paraId="48CCC43F">
      <w:pPr>
        <w:keepNext w:val="0"/>
        <w:keepLines w:val="0"/>
        <w:widowControl/>
        <w:suppressLineNumbers w:val="0"/>
        <w:shd w:val="clear" w:fill="FFFFFF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shd w:val="clear" w:fill="FFFFFF"/>
          <w:lang w:val="en-US" w:eastAsia="zh-CN" w:bidi="ar"/>
        </w:rPr>
        <w:t>赛题内容</w:t>
      </w:r>
    </w:p>
    <w:p w14:paraId="4159DFF5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380" w:right="0" w:hanging="576"/>
        <w:jc w:val="both"/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1．题目名称</w:t>
      </w:r>
    </w:p>
    <w:p w14:paraId="7293426B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42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面向低算力端侧平台基于视觉的实时跌倒检测</w:t>
      </w:r>
    </w:p>
    <w:p w14:paraId="25CBFC84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2．题目描述</w:t>
      </w:r>
    </w:p>
    <w:p w14:paraId="1321B3EE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在居家养老、医疗照护等场景中，跌倒检测的准确性和实时性对挽救生命至关重要。伴随智能安防设备的普及，当前的智能化看护产品聚焦于在端侧（边缘计算设备）构建视觉智能体，为用户带来安全保障的同时，实现视频流等隐私数据在端侧闭环，避免云端传输带来的隐私泄露风险和网络延迟。然而，端侧设备受限于计算资源、存储空间和功耗，只能运行轻量级的小尺寸视觉模型，难以准确捕捉和理解复杂的三维人体动作语义。在实际的纯视觉跌倒检测场景中，传统方案存在以下痛点：</w:t>
      </w:r>
    </w:p>
    <w:p w14:paraId="1A11B094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动作语义混淆：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人体跌倒过程复杂多变，与日常动作（如快速坐下、弯腰捡物、躺下休息等）在视觉表征上极为相似，导致轻量级模型误报频发。</w:t>
      </w:r>
    </w:p>
    <w:p w14:paraId="689D51B4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2）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算力与效率瓶颈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：端侧算力低、存储资源少，高精度、高复杂度的视频动作分析网络（如庞大的3D-CNN或Video Transformer），推理时延高，无法满足跌倒检测的实时性要求。</w:t>
      </w:r>
    </w:p>
    <w:p w14:paraId="2C40E55A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场景长尾问题：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在傍晚微光、夜间红外、人体存在遮挡、摄像机视角变化等长尾恶劣场景下，轻量级算法特征提取能力不足，检测精度下降，造成的漏报和误报。</w:t>
      </w:r>
    </w:p>
    <w:p w14:paraId="4AF66F9C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为解决以上痛点，本题目期望基于小尺寸的轻量级视觉模型，搭配高效的后处理或其他轻量算法，在计算资源受限的端侧设备上，完成人体跌倒行为的精准语义理解与实时报警。</w:t>
      </w:r>
    </w:p>
    <w:p w14:paraId="4E232F14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本题目将重点解决以下核心挑战：</w:t>
      </w:r>
    </w:p>
    <w:p w14:paraId="2B4DE783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跌倒检测行为的准确识别：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精准识别视频流中的人体跌倒，能够将真实跌倒行为与日常行为（坐、弯腰、站立行走，蹲等）区分开，在保证高召回率的同时，具有较低的误报。</w:t>
      </w:r>
    </w:p>
    <w:p w14:paraId="65D29522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2）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低算力下的高效推理构建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：在保证检测精度的前提下，探索模型轻量化架构设计或网络压缩技术，将算法方案在端侧的单帧端到端推理耗时控制在数十毫秒级。</w:t>
      </w:r>
    </w:p>
    <w:p w14:paraId="42FBAD27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42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3）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环境干扰的泛化性优化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：针对长尾问题，通过高效的数据增强、域适应或轻量级时空特征融合策略，提升算法在复杂光照、不同机位视角以及遮挡等小样本/极端场景下的泛化与识别能力。</w:t>
      </w:r>
    </w:p>
    <w:p w14:paraId="2A1578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60" w:afterAutospacing="0"/>
        <w:ind w:left="0" w:right="0" w:hanging="36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具体要求</w:t>
      </w:r>
    </w:p>
    <w:p w14:paraId="39B4AB64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1）端到端纯视觉解决方案设计：构建端到端纯视觉跌倒检测算法解决方案，不得依赖其他深度图、穿戴设备输入信息等，需要支持红外图像的跌倒检测。</w:t>
      </w:r>
    </w:p>
    <w:p w14:paraId="0D457CE4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2）性能要求：</w:t>
      </w:r>
    </w:p>
    <w:p w14:paraId="244E17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60" w:afterAutospacing="0"/>
        <w:ind w:left="0" w:right="0" w:hanging="36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模型总参数≤20M，总参数量fp32≤80MB，支持端侧设备（海思、瑞芯微等NPU）部署；</w:t>
      </w:r>
    </w:p>
    <w:p w14:paraId="010D11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60" w:afterAutospacing="0"/>
        <w:ind w:left="0" w:right="0" w:hanging="36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相机图像输入分辨率为1080P以上，算法输入分辨率根据整体解决方案自行定义；</w:t>
      </w:r>
    </w:p>
    <w:p w14:paraId="5C2E05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60" w:afterAutospacing="0"/>
        <w:ind w:left="0" w:right="0" w:hanging="36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端侧推理耗时≤100ms，推理时NPU存储占用≤20MB；</w:t>
      </w:r>
    </w:p>
    <w:p w14:paraId="206809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60" w:afterAutospacing="0"/>
        <w:ind w:left="0" w:right="0" w:hanging="36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训练所需存储、算力资源自备不做要求，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可利用现有真实数据样本或结合其他开源数据集，进行数据增强、合成等方式来保证模型的泛化能力；</w:t>
      </w:r>
    </w:p>
    <w:p w14:paraId="25BCE4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60" w:afterAutospacing="0"/>
        <w:ind w:left="0" w:right="0" w:hanging="36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测试基于视频片段进行指标的评测计算，每个片段可能包含一个或者多个跌倒场景，生活场景等。</w:t>
      </w:r>
    </w:p>
    <w:p w14:paraId="13BE7175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3）竞赛得分部分根据选手提交的整体端到端算法解决方案在测试集（包括公开测试集和非公开测试集）上的运行结果得出，会提供少量非公开测试集场景数据供参考；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竞赛得分最终成绩由模型检测的90和95召回率情况下的平均精准率MAP（50%）、整体模型参数量（25%）、模型推理耗时（25%）综合得出：</w:t>
      </w:r>
    </w:p>
    <w:p w14:paraId="39C47EB3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跌倒True Positive（TP）：真实跌倒并且检测为跌倒的</w:t>
      </w:r>
    </w:p>
    <w:p w14:paraId="1893D7A4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跌倒False Positive（FP）：日常行为误检测为跌倒的</w:t>
      </w:r>
    </w:p>
    <w:p w14:paraId="29AD21F7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跌倒False Negative（FN）：真实跌倒但是没检测到跌倒，漏检的</w:t>
      </w:r>
    </w:p>
    <w:p w14:paraId="45C9FC6A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召回率（Recall）：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981075" cy="352425"/>
            <wp:effectExtent l="0" t="0" r="9525" b="317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488805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精准率（Precision）：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962025" cy="352425"/>
            <wp:effectExtent l="0" t="0" r="3175" b="317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C6D342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定义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285750" cy="238125"/>
            <wp:effectExtent l="0" t="0" r="6350" b="254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是指在召回率为90%时的精准率，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285750" cy="238125"/>
            <wp:effectExtent l="0" t="0" r="6350" b="254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是在召回率为95%时的精准率，算法的整体得分为：</w:t>
      </w:r>
    </w:p>
    <w:p w14:paraId="6C360B88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2247900" cy="457200"/>
            <wp:effectExtent l="0" t="0" r="0" b="0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6D9E0E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模型参数量基线得分为25分，少于约束根据实际参数量可以获得额外的得分最高为10分，超过约束会进行扣分,最大允许超过约束规定的1倍，也就是参数量上线40M，超过则为0分：</w:t>
      </w:r>
    </w:p>
    <w:p w14:paraId="00CB6788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5229225" cy="1257300"/>
            <wp:effectExtent l="0" t="0" r="3175" b="0"/>
            <wp:docPr id="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4D519C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推理耗时同模型参数量一样，基线得分为25分，少于约束根据实际参推理时间可以获得额外的得分最高为10分，超过约束会进行扣分,最大允许超过约束规定的1倍，也就是推理时间200ms，超过则为0分：</w:t>
      </w:r>
    </w:p>
    <w:p w14:paraId="3D48956F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5271135" cy="1379220"/>
            <wp:effectExtent l="0" t="0" r="0" b="5080"/>
            <wp:docPr id="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79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10AEE7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  <w:shd w:val="clear" w:fill="FFFFFF"/>
        </w:rPr>
        <w:t> </w:t>
      </w:r>
    </w:p>
    <w:p w14:paraId="3EB51024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最终竞赛得分：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drawing>
          <wp:inline distT="0" distB="0" distL="114300" distR="114300">
            <wp:extent cx="4495800" cy="266700"/>
            <wp:effectExtent l="0" t="0" r="0" b="0"/>
            <wp:docPr id="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CD0BA7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4）赛题总分由竞赛得分（70%）和专家评分（30%）两部分组成。专家评分由评委组对选手所提交的方案的新颖性、合理性等进行打分。因此，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参赛者需要提交端到端算法解决方案文档，详细描述整体方案的设计思路，各模块模型选型和设计，给出可行性、先进性以及相对于业界的优化点分析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,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以及模型代码（用于非公开测试集评估）、模型使用说明文件（用于报告模型方案以及模型在公开测试集上的结果）。</w:t>
      </w:r>
    </w:p>
    <w:p w14:paraId="2BFBAD20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4．参考数据集</w:t>
      </w:r>
    </w:p>
    <w:p w14:paraId="5FD7D94C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18"/>
          <w:szCs w:val="18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18"/>
          <w:szCs w:val="18"/>
          <w:u w:val="none"/>
          <w:shd w:val="clear" w:fill="FFFFFF"/>
        </w:rPr>
        <w:instrText xml:space="preserve"> HYPERLINK "https://huggingface.co/datasets/simplexsigil2/omnifall"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18"/>
          <w:szCs w:val="18"/>
          <w:u w:val="none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8"/>
          <w:szCs w:val="18"/>
          <w:u w:val="single"/>
          <w:shd w:val="clear" w:fill="FFFFFF"/>
        </w:rPr>
        <w:t>https://huggingface.co/datasets/simplexsigil2/omnifall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18"/>
          <w:szCs w:val="18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u w:val="single"/>
          <w:shd w:val="clear" w:fill="FFFFFF"/>
        </w:rPr>
        <w:t> </w:t>
      </w:r>
    </w:p>
    <w:p w14:paraId="496EA234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8"/>
          <w:szCs w:val="18"/>
          <w:u w:val="single"/>
          <w:shd w:val="clear" w:fill="FFFFFF"/>
        </w:rPr>
        <w:t>https://www.kaggle.com/datasets/payutch/fall-video-dataset</w:t>
      </w:r>
    </w:p>
    <w:p w14:paraId="5C9DD882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5．参考文献</w:t>
      </w:r>
    </w:p>
    <w:p w14:paraId="70085C26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[1] LFD-YOLO: a lightweight fall detection network with enhanced feature extraction and fusion</w:t>
      </w:r>
    </w:p>
    <w:p w14:paraId="6B4A3F1B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[2] BMR-YOLO: A deep learning approach for fall detection in complex environments</w:t>
      </w:r>
    </w:p>
    <w:p w14:paraId="2F9FE4B3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[3] YOLO-fall: a YOLO-based fall detection model with high precision, shrunk size, and low latency</w:t>
      </w:r>
    </w:p>
    <w:p w14:paraId="7F111804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6．咨询专家及联系邮箱</w:t>
      </w:r>
    </w:p>
    <w:p w14:paraId="74AD23C5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何建忠 -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18"/>
          <w:szCs w:val="18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18"/>
          <w:szCs w:val="18"/>
          <w:u w:val="none"/>
          <w:shd w:val="clear" w:fill="FFFFFF"/>
        </w:rPr>
        <w:instrText xml:space="preserve"> HYPERLINK "mailto:jianzhong.he@huawei.com"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18"/>
          <w:szCs w:val="18"/>
          <w:u w:val="none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8"/>
          <w:szCs w:val="18"/>
          <w:u w:val="single"/>
          <w:shd w:val="clear" w:fill="FFFFFF"/>
        </w:rPr>
        <w:t>jianzhong.he@huawei.com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890FF"/>
          <w:spacing w:val="0"/>
          <w:sz w:val="18"/>
          <w:szCs w:val="18"/>
          <w:u w:val="none"/>
          <w:shd w:val="clear" w:fill="FFFFFF"/>
        </w:rPr>
        <w:fldChar w:fldCharType="end"/>
      </w:r>
    </w:p>
    <w:p w14:paraId="1783DBB1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7.赛题讨论链接</w:t>
      </w:r>
    </w:p>
    <w:p w14:paraId="26A70332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instrText xml:space="preserve"> HYPERLINK "https://www.chaspark.com/#/races/competitions/1264757525464276992"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https://www.chaspark.com/#/races/competitions/1264757525464276992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fldChar w:fldCharType="end"/>
      </w:r>
    </w:p>
    <w:p w14:paraId="2011DDEE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补充</w:t>
      </w:r>
    </w:p>
    <w:p w14:paraId="12259121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由于赛事主委会不提供芯片和转换测试环境，也为使各参赛队伍更聚焦于算法方案设计与模型精度优化，减少端侧部署 适配的工作量，经与内部专家同事决定，赛题最终测试环境将统一调整为云端GPU服务器(NVIDIA V100 16G)，不 再要求参赛队伍进行端侧 (Hi3516CV610/SS626)模型转换与适配。本题目目的是为端侧适配的算法方案设计和开 发，因此模型参数规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模、推理精度要求、输入输出格式等核心指标保持不变，仅测试执行硬件平台发生变更</w:t>
      </w:r>
    </w:p>
    <w:p w14:paraId="25915850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mindstudio下载:https://www,hiascend.com/developer/software/mindstudio/download?</w:t>
      </w:r>
    </w:p>
    <w:p w14:paraId="74295C42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versionld=142&amp;ids=46%2C26958bcc909e4cd48fa56d4c4a43ebec%2C89%2C49</w:t>
      </w:r>
    </w:p>
    <w:p w14:paraId="6A346204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spacing w:after="16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90FF"/>
          <w:spacing w:val="0"/>
          <w:kern w:val="0"/>
          <w:sz w:val="14"/>
          <w:szCs w:val="1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890FF"/>
          <w:spacing w:val="0"/>
          <w:kern w:val="0"/>
          <w:sz w:val="14"/>
          <w:szCs w:val="14"/>
          <w:u w:val="none"/>
          <w:shd w:val="clear" w:fill="FFFFFF"/>
          <w:lang w:val="en-US" w:eastAsia="zh-CN" w:bidi="ar"/>
        </w:rPr>
        <w:instrText xml:space="preserve"> HYPERLINK "javascript:;"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890FF"/>
          <w:spacing w:val="0"/>
          <w:kern w:val="0"/>
          <w:sz w:val="14"/>
          <w:szCs w:val="14"/>
          <w:u w:val="none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890FF"/>
          <w:spacing w:val="0"/>
          <w:sz w:val="14"/>
          <w:szCs w:val="14"/>
          <w:u w:val="none"/>
          <w:shd w:val="clear" w:fill="FFFFFF"/>
        </w:rPr>
        <w:t>展示更多</w:t>
      </w:r>
      <w:r>
        <w:rPr>
          <w:rFonts w:hint="default" w:ascii="Segoe UI" w:hAnsi="Segoe UI" w:eastAsia="Segoe UI" w:cs="Segoe UI"/>
          <w:i w:val="0"/>
          <w:iCs w:val="0"/>
          <w:caps w:val="0"/>
          <w:color w:val="1890FF"/>
          <w:spacing w:val="0"/>
          <w:kern w:val="0"/>
          <w:sz w:val="14"/>
          <w:szCs w:val="14"/>
          <w:u w:val="none"/>
          <w:shd w:val="clear" w:fill="FFFFFF"/>
          <w:lang w:val="en-US" w:eastAsia="zh-CN" w:bidi="ar"/>
        </w:rPr>
        <w:fldChar w:fldCharType="end"/>
      </w:r>
    </w:p>
    <w:p w14:paraId="37CA44C5">
      <w:pPr>
        <w:keepNext w:val="0"/>
        <w:keepLines w:val="0"/>
        <w:widowControl/>
        <w:suppressLineNumbers w:val="0"/>
        <w:shd w:val="clear" w:fill="FFFFFF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shd w:val="clear" w:fill="FFFFFF"/>
          <w:lang w:val="en-US" w:eastAsia="zh-CN" w:bidi="ar"/>
        </w:rPr>
        <w:t>报名要求</w:t>
      </w:r>
    </w:p>
    <w:p w14:paraId="73B81F34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4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大赛分为初赛和决赛两个阶段。在每个阶段，参赛队伍须按照要求按时合规地提交参赛作品。提交的作品材料中不得体现学校、学院或导师等影响比赛公平的信息。团队信息（名称、成员、排序以及指导教师等）以初赛报名信息为准。</w:t>
      </w:r>
    </w:p>
    <w:p w14:paraId="7F63BB24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4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（一）初赛阶段</w:t>
      </w:r>
    </w:p>
    <w:p w14:paraId="74CD470C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4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参赛者须根据赛题作品规范提交参赛作品简介（无模板，300字以内）、项目文档（基于标准模板完成项目内容的详细阐述）、项目视频（充分展示团队成果）、其他可选辅佐材料（技术可行性、产品尽职调查报告等项目相关内容）。本次大赛鼓励原创性工作，作品的核心创意和主要开发过程须在大赛期间独立完成。</w:t>
      </w:r>
    </w:p>
    <w:p w14:paraId="557334D8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4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（二）决赛阶段</w:t>
      </w:r>
    </w:p>
    <w:p w14:paraId="644AA512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4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参赛者须通过汇报和展示的形式，全方位呈现作品开发流程、技术概要、创新要点和潜在应用价值，具体安排以正式通知为准。</w:t>
      </w:r>
    </w:p>
    <w:p w14:paraId="5D48F093">
      <w:pPr>
        <w:keepNext w:val="0"/>
        <w:keepLines w:val="0"/>
        <w:widowControl/>
        <w:suppressLineNumbers w:val="0"/>
        <w:shd w:val="clear" w:fill="FFFFFF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shd w:val="clear" w:fill="FFFFFF"/>
          <w:lang w:val="en-US" w:eastAsia="zh-CN" w:bidi="ar"/>
        </w:rPr>
        <w:t>作品要求</w:t>
      </w:r>
    </w:p>
    <w:p w14:paraId="3EB1C3CF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/>
        <w:jc w:val="both"/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32"/>
          <w:szCs w:val="32"/>
          <w:shd w:val="clear" w:fill="FFFFFF"/>
        </w:rPr>
        <w:t>各位参赛同学：</w:t>
      </w:r>
    </w:p>
    <w:p w14:paraId="2FAA9E11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36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-1"/>
          <w:sz w:val="18"/>
          <w:szCs w:val="18"/>
          <w:shd w:val="clear" w:fill="FFFFFF"/>
        </w:rPr>
        <w:t>各位同学请在提交作品前仔细阅读提交作品材料要求，规范地提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交参赛作品简介、项目文档、项目视频和初期成果。</w:t>
      </w:r>
    </w:p>
    <w:p w14:paraId="1D402386">
      <w:pPr>
        <w:pStyle w:val="2"/>
        <w:keepNext w:val="0"/>
        <w:keepLines w:val="0"/>
        <w:widowControl/>
        <w:suppressLineNumbers w:val="0"/>
        <w:spacing w:before="0" w:beforeAutospacing="0" w:after="160" w:afterAutospacing="0" w:line="11" w:lineRule="atLeast"/>
        <w:ind w:left="0" w:right="0" w:firstLine="611"/>
        <w:jc w:val="both"/>
        <w:rPr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1.材料内容要点应包含但不限于：</w:t>
      </w:r>
    </w:p>
    <w:p w14:paraId="6AC3F3A6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636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-1"/>
          <w:sz w:val="18"/>
          <w:szCs w:val="18"/>
          <w:shd w:val="clear" w:fill="FFFFFF"/>
        </w:rPr>
        <w:t>（1）对作品创新性进行充分严谨的论证；</w:t>
      </w:r>
    </w:p>
    <w:p w14:paraId="16F35027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636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-1"/>
          <w:sz w:val="18"/>
          <w:szCs w:val="18"/>
          <w:shd w:val="clear" w:fill="FFFFFF"/>
        </w:rPr>
        <w:t>（2）通过技术调研，与他人已有工作对比分析；</w:t>
      </w:r>
    </w:p>
    <w:p w14:paraId="7D6B9B0D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636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-1"/>
          <w:sz w:val="18"/>
          <w:szCs w:val="18"/>
          <w:shd w:val="clear" w:fill="FFFFFF"/>
        </w:rPr>
        <w:t>（3）体现 AI 技术在 Inference 上的效果和指标；</w:t>
      </w:r>
    </w:p>
    <w:p w14:paraId="7194DA13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628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-3"/>
          <w:sz w:val="18"/>
          <w:szCs w:val="18"/>
          <w:shd w:val="clear" w:fill="FFFFFF"/>
        </w:rPr>
        <w:t>（4）详细说明数据、行业知识、算法、硬件的来源，严格标注引用、借鉴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的相关工作。</w:t>
      </w:r>
    </w:p>
    <w:p w14:paraId="228247AC">
      <w:pPr>
        <w:pStyle w:val="2"/>
        <w:keepNext w:val="0"/>
        <w:keepLines w:val="0"/>
        <w:widowControl/>
        <w:suppressLineNumbers w:val="0"/>
        <w:spacing w:before="0" w:beforeAutospacing="0" w:after="160" w:afterAutospacing="0" w:line="11" w:lineRule="atLeast"/>
        <w:ind w:left="0" w:right="0" w:firstLine="611"/>
        <w:jc w:val="both"/>
        <w:rPr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2.初赛具体提交作品材料明细和格式</w:t>
      </w:r>
    </w:p>
    <w:p w14:paraId="1871510C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4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（1）参赛作品简介（无模板，300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19"/>
          <w:sz w:val="18"/>
          <w:szCs w:val="18"/>
          <w:shd w:val="clear" w:fill="FFFFFF"/>
        </w:rPr>
        <w:t> 字以内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）</w:t>
      </w:r>
    </w:p>
    <w:p w14:paraId="4E325889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636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-1"/>
          <w:sz w:val="18"/>
          <w:szCs w:val="18"/>
          <w:shd w:val="clear" w:fill="FFFFFF"/>
        </w:rPr>
        <w:t>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9"/>
          <w:sz w:val="18"/>
          <w:szCs w:val="18"/>
          <w:shd w:val="clear" w:fill="FFFFFF"/>
        </w:rPr>
        <w:t>格式，命名为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“XXX（团队名称）_XXX（项目名称）_参赛作品简介.pdf”；</w:t>
      </w:r>
    </w:p>
    <w:p w14:paraId="7674F3BC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32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-2"/>
          <w:sz w:val="18"/>
          <w:szCs w:val="18"/>
          <w:shd w:val="clear" w:fill="FFFFFF"/>
        </w:rPr>
        <w:t>（2）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项目文档（模板见附件2，基于模板完成项目内容的详细阐述）；</w:t>
      </w:r>
    </w:p>
    <w:p w14:paraId="6433D466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64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1"/>
          <w:sz w:val="18"/>
          <w:szCs w:val="18"/>
          <w:shd w:val="clear" w:fill="FFFFFF"/>
        </w:rPr>
        <w:t>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9"/>
          <w:sz w:val="18"/>
          <w:szCs w:val="18"/>
          <w:shd w:val="clear" w:fill="FFFFFF"/>
        </w:rPr>
        <w:t> 格式，命名为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“XXX（团队名称）_XXX（项目名称）_项目文档.pdf”；</w:t>
      </w:r>
    </w:p>
    <w:p w14:paraId="61DFA9AC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32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-2"/>
          <w:sz w:val="18"/>
          <w:szCs w:val="18"/>
          <w:shd w:val="clear" w:fill="FFFFFF"/>
        </w:rPr>
        <w:t>（3）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项目视频（项目核心目标的预期效果展示）</w:t>
      </w:r>
    </w:p>
    <w:p w14:paraId="455EF325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608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-8"/>
          <w:sz w:val="18"/>
          <w:szCs w:val="18"/>
          <w:shd w:val="clear" w:fill="FFFFFF"/>
        </w:rPr>
        <w:t>时长不超过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5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14"/>
          <w:sz w:val="18"/>
          <w:szCs w:val="18"/>
          <w:shd w:val="clear" w:fill="FFFFFF"/>
        </w:rPr>
        <w:t> 分钟，文件大小不超过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5"/>
          <w:sz w:val="18"/>
          <w:szCs w:val="18"/>
          <w:shd w:val="clear" w:fill="FFFFFF"/>
        </w:rPr>
        <w:t>200M，mp4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18"/>
          <w:sz w:val="18"/>
          <w:szCs w:val="18"/>
          <w:shd w:val="clear" w:fill="FFFFFF"/>
        </w:rPr>
        <w:t> 格式，命名为“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8"/>
          <w:sz w:val="18"/>
          <w:szCs w:val="18"/>
          <w:shd w:val="clear" w:fill="FFFFFF"/>
        </w:rPr>
        <w:t>XXX（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1"/>
          <w:sz w:val="18"/>
          <w:szCs w:val="18"/>
          <w:shd w:val="clear" w:fill="FFFFFF"/>
        </w:rPr>
        <w:t>团队名称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）_XXX（项目名称）_项目视频.mp4”；</w:t>
      </w:r>
    </w:p>
    <w:p w14:paraId="5B9323FF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4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2"/>
          <w:sz w:val="18"/>
          <w:szCs w:val="18"/>
          <w:shd w:val="clear" w:fill="FFFFFF"/>
        </w:rPr>
        <w:t>（4）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其他辅助材料（技术可行性等项目相关内容）</w:t>
      </w:r>
    </w:p>
    <w:p w14:paraId="7991F36B">
      <w:pPr>
        <w:pStyle w:val="3"/>
        <w:keepNext w:val="0"/>
        <w:keepLines w:val="0"/>
        <w:widowControl/>
        <w:suppressLineNumbers w:val="0"/>
        <w:spacing w:before="0" w:beforeAutospacing="0" w:after="262" w:afterAutospacing="0"/>
        <w:ind w:left="0" w:right="0" w:firstLine="64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4"/>
          <w:sz w:val="18"/>
          <w:szCs w:val="18"/>
          <w:shd w:val="clear" w:fill="FFFFFF"/>
        </w:rPr>
        <w:t>不局限于论文、可执行程序、项目代码等最终呈现形式，以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2"/>
          <w:sz w:val="18"/>
          <w:szCs w:val="18"/>
          <w:shd w:val="clear" w:fill="FFFFFF"/>
        </w:rPr>
        <w:t>zip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9"/>
          <w:sz w:val="18"/>
          <w:szCs w:val="18"/>
          <w:shd w:val="clear" w:fill="FFFFFF"/>
        </w:rPr>
        <w:t> 格式压缩，文件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10"/>
          <w:sz w:val="18"/>
          <w:szCs w:val="18"/>
          <w:shd w:val="clear" w:fill="FFFFFF"/>
        </w:rPr>
        <w:t>大小不超过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1"/>
          <w:sz w:val="18"/>
          <w:szCs w:val="18"/>
          <w:shd w:val="clear" w:fill="FFFFFF"/>
        </w:rPr>
        <w:t>200M ，命名为“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XXX（团队名称）_XXX（项目名称）_其他.zip”。</w:t>
      </w:r>
    </w:p>
    <w:p w14:paraId="141438C7">
      <w:pPr>
        <w:pStyle w:val="2"/>
        <w:keepNext w:val="0"/>
        <w:keepLines w:val="0"/>
        <w:widowControl/>
        <w:suppressLineNumbers w:val="0"/>
        <w:spacing w:before="0" w:beforeAutospacing="0" w:after="160" w:afterAutospacing="0" w:line="11" w:lineRule="atLeast"/>
        <w:ind w:left="0" w:right="0" w:firstLine="611"/>
        <w:jc w:val="both"/>
        <w:rPr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3.学生参赛资格审核流程</w:t>
      </w:r>
    </w:p>
    <w:p w14:paraId="4A7D7315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36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-1"/>
          <w:sz w:val="18"/>
          <w:szCs w:val="18"/>
          <w:shd w:val="clear" w:fill="FFFFFF"/>
        </w:rPr>
        <w:t>学生参赛资格由各研究生培养单位负责审核，参赛资格审核通过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8"/>
          <w:sz w:val="18"/>
          <w:szCs w:val="18"/>
          <w:shd w:val="clear" w:fill="FFFFFF"/>
        </w:rPr>
        <w:t>者方可在系统中提交参赛作品。参赛资格审核不通过者请按照审核意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-7"/>
          <w:sz w:val="18"/>
          <w:szCs w:val="18"/>
          <w:shd w:val="clear" w:fill="FFFFFF"/>
        </w:rPr>
        <w:t>见修改相关信息后继续提交报名申请，并由各研究生培养单位继续审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核报名资格，直至审核通过后方可提交参赛作品。</w:t>
      </w:r>
    </w:p>
    <w:p w14:paraId="42E79CB1">
      <w:pPr>
        <w:pStyle w:val="2"/>
        <w:keepNext w:val="0"/>
        <w:keepLines w:val="0"/>
        <w:widowControl/>
        <w:suppressLineNumbers w:val="0"/>
        <w:spacing w:before="0" w:beforeAutospacing="0" w:after="160" w:afterAutospacing="0" w:line="11" w:lineRule="atLeast"/>
        <w:ind w:left="0" w:right="0" w:firstLine="611"/>
        <w:jc w:val="both"/>
        <w:rPr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4.温馨提示</w:t>
      </w:r>
    </w:p>
    <w:p w14:paraId="4539B66F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36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-1"/>
          <w:sz w:val="18"/>
          <w:szCs w:val="18"/>
          <w:shd w:val="clear" w:fill="FFFFFF"/>
        </w:rPr>
        <w:t>初赛作品提交截止时间为 2026年9月1日23:59。为避免同学们集中提交作品材料而造成网站服务器压力过大，建议各位同学完成作品后提前提交作品材料，提交后如需修改可于作品材料提交截止日期前重新提交更新。</w:t>
      </w:r>
    </w:p>
    <w:p w14:paraId="106FEB70">
      <w:pPr>
        <w:pStyle w:val="3"/>
        <w:keepNext w:val="0"/>
        <w:keepLines w:val="0"/>
        <w:widowControl/>
        <w:suppressLineNumbers w:val="0"/>
        <w:spacing w:before="0" w:beforeAutospacing="0" w:after="100" w:afterAutospacing="0"/>
        <w:ind w:left="0" w:right="0" w:firstLine="636"/>
        <w:jc w:val="both"/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参赛队伍的队名、提交作品及全部材料中不得体现学校、学院或导师等影响比赛公平的信息。团队名称、团队信息以初赛报名信息为准，通过资格审查后，在大赛期间不得更改团队成员，以及指导教师信息。</w:t>
      </w:r>
    </w:p>
    <w:p w14:paraId="32395C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3473B8"/>
    <w:multiLevelType w:val="multilevel"/>
    <w:tmpl w:val="1D3473B8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03247CD"/>
    <w:multiLevelType w:val="multilevel"/>
    <w:tmpl w:val="603247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DA4D83"/>
    <w:rsid w:val="43AD47A9"/>
    <w:rsid w:val="59DA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2871</Words>
  <Characters>3452</Characters>
  <Lines>0</Lines>
  <Paragraphs>0</Paragraphs>
  <TotalTime>2</TotalTime>
  <ScaleCrop>false</ScaleCrop>
  <LinksUpToDate>false</LinksUpToDate>
  <CharactersWithSpaces>3517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2026-08-10T16:18:00Z</dcterms:created>
  <dc:creator>吴金山</dc:creator>
  <cp:lastModifiedBy>吴金山</cp:lastModifiedBy>
  <dcterms:modified xsi:type="dcterms:W3CDTF">2026-08-16T07:17:00Z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D9903D420F6449E2AA0C93B0CE16F767_11</vt:lpwstr>
  </property>
  <property fmtid="{D5CDD505-2E9C-101B-9397-08002B2CF9AE}" pid="4" name="KSOTemplateDocerSaveRecord">
    <vt:lpwstr>eyJoZGlkIjoiOGFmMTQyMDUzZTI2YzQ4YTQ3NjA1MjA3MjhhYzEyMjYiLCJ1c2VySWQiOiIxNzI1OTYxOTU1In0=</vt:lpwstr>
  </property>
</Properties>
</file>