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VCU 저전력 제어 사양 — 그림 포함 샘플</w:t>
      </w:r>
    </w:p>
    <w:p>
      <w:r>
        <w:t>본 샘플은 Requirement Studio의 Text/Table/Visual Evidence 통합 분석을 확인하기 위한 입력 문서입니다.</w:t>
      </w:r>
    </w:p>
    <w:p>
      <w:pPr>
        <w:pStyle w:val="Heading1"/>
      </w:pPr>
      <w:r>
        <w:t>1. 기능 설명</w:t>
      </w:r>
    </w:p>
    <w:p>
      <w:r>
        <w:t>VCU는 IGN OFF 상태에서 LIN Bus 비활성 시간이 4.5초 이상 지속되면 저전력 모드로 진입해야 한다.</w:t>
      </w:r>
    </w:p>
    <w:p>
      <w:r>
        <w:t>저전력 모드에서 암전류는 1mA 이하로 유지되어야 한다.</w:t>
      </w:r>
    </w:p>
    <w:p>
      <w:pPr>
        <w:pStyle w:val="Heading1"/>
      </w:pPr>
      <w:r>
        <w:t>2. 상태 도식</w:t>
      </w:r>
    </w:p>
    <w:p>
      <w:r>
        <w:drawing>
          <wp:inline xmlns:a="http://schemas.openxmlformats.org/drawingml/2006/main" xmlns:pic="http://schemas.openxmlformats.org/drawingml/2006/picture">
            <wp:extent cx="5852160" cy="35112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mple_visual_vcu_low_power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5112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3. 확인 대상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항목</w:t>
            </w:r>
          </w:p>
        </w:tc>
        <w:tc>
          <w:tcPr>
            <w:tcW w:type="dxa" w:w="2880"/>
          </w:tcPr>
          <w:p>
            <w:r>
              <w:t>내용</w:t>
            </w:r>
          </w:p>
        </w:tc>
        <w:tc>
          <w:tcPr>
            <w:tcW w:type="dxa" w:w="2880"/>
          </w:tcPr>
          <w:p>
            <w:r>
              <w:t>비고</w:t>
            </w:r>
          </w:p>
        </w:tc>
      </w:tr>
      <w:tr>
        <w:tc>
          <w:tcPr>
            <w:tcW w:type="dxa" w:w="2880"/>
          </w:tcPr>
          <w:p>
            <w:r>
              <w:t>Trigger</w:t>
            </w:r>
          </w:p>
        </w:tc>
        <w:tc>
          <w:tcPr>
            <w:tcW w:type="dxa" w:w="2880"/>
          </w:tcPr>
          <w:p>
            <w:r>
              <w:t>LIN Bus 비활성 ≥ 4.5초</w:t>
            </w:r>
          </w:p>
        </w:tc>
        <w:tc>
          <w:tcPr>
            <w:tcW w:type="dxa" w:w="2880"/>
          </w:tcPr>
          <w:p>
            <w:r>
              <w:t>SWE.1 Trigger 후보</w:t>
            </w:r>
          </w:p>
        </w:tc>
      </w:tr>
      <w:tr>
        <w:tc>
          <w:tcPr>
            <w:tcW w:type="dxa" w:w="2880"/>
          </w:tcPr>
          <w:p>
            <w:r>
              <w:t>Expected Result</w:t>
            </w:r>
          </w:p>
        </w:tc>
        <w:tc>
          <w:tcPr>
            <w:tcW w:type="dxa" w:w="2880"/>
          </w:tcPr>
          <w:p>
            <w:r>
              <w:t>Sleep Mode 진입, 암전류 ≤ 1mA</w:t>
            </w:r>
          </w:p>
        </w:tc>
        <w:tc>
          <w:tcPr>
            <w:tcW w:type="dxa" w:w="2880"/>
          </w:tcPr>
          <w:p>
            <w:r>
              <w:t>검증 기준 후보</w:t>
            </w:r>
          </w:p>
        </w:tc>
      </w:tr>
      <w:tr>
        <w:tc>
          <w:tcPr>
            <w:tcW w:type="dxa" w:w="2880"/>
          </w:tcPr>
          <w:p>
            <w:r>
              <w:t>Not Confirmed</w:t>
            </w:r>
          </w:p>
        </w:tc>
        <w:tc>
          <w:tcPr>
            <w:tcW w:type="dxa" w:w="2880"/>
          </w:tcPr>
          <w:p>
            <w:r>
              <w:t>실제 Signal Name / CAN·LIN 세부 신호명</w:t>
            </w:r>
          </w:p>
        </w:tc>
        <w:tc>
          <w:tcPr>
            <w:tcW w:type="dxa" w:w="2880"/>
          </w:tcPr>
          <w:p>
            <w:r>
              <w:t>Gap/TBD 후보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