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B7B7B7"/>
  <w:body>
    <w:p w:rsidR="00000000" w:rsidDel="00000000" w:rsidP="00000000" w:rsidRDefault="00000000" w:rsidRPr="00000000" w14:paraId="00000001">
      <w:pPr>
        <w:spacing w:after="240" w:before="240" w:lineRule="auto"/>
        <w:ind w:left="0" w:right="0" w:firstLine="0"/>
        <w:rPr>
          <w:rFonts w:ascii="Eczar" w:cs="Eczar" w:eastAsia="Eczar" w:hAnsi="Eczar"/>
          <w:sz w:val="26"/>
          <w:szCs w:val="26"/>
        </w:rPr>
      </w:pPr>
      <w:r w:rsidDel="00000000" w:rsidR="00000000" w:rsidRPr="00000000">
        <w:rPr>
          <w:rtl w:val="0"/>
        </w:rPr>
      </w:r>
    </w:p>
    <w:p w:rsidR="00000000" w:rsidDel="00000000" w:rsidP="00000000" w:rsidRDefault="00000000" w:rsidRPr="00000000" w14:paraId="0000000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393 (Short title)</w:t>
      </w:r>
      <w:r w:rsidDel="00000000" w:rsidR="00000000" w:rsidRPr="00000000">
        <w:rPr>
          <w:rFonts w:ascii="Eczar" w:cs="Eczar" w:eastAsia="Eczar" w:hAnsi="Eczar"/>
          <w:sz w:val="26"/>
          <w:szCs w:val="26"/>
          <w:rtl w:val="0"/>
        </w:rPr>
        <w:t xml:space="preserve"> This article officially declares the name of the document, stating that it may be called the </w:t>
      </w:r>
      <w:r w:rsidDel="00000000" w:rsidR="00000000" w:rsidRPr="00000000">
        <w:rPr>
          <w:rFonts w:ascii="Eczar" w:cs="Eczar" w:eastAsia="Eczar" w:hAnsi="Eczar"/>
          <w:b w:val="1"/>
          <w:bCs w:val="1"/>
          <w:sz w:val="26"/>
          <w:szCs w:val="26"/>
          <w:rtl w:val="0"/>
        </w:rPr>
        <w:t xml:space="preserve">"Constitution of India"</w:t>
      </w:r>
      <w:r w:rsidDel="00000000" w:rsidR="00000000" w:rsidRPr="00000000">
        <w:rPr>
          <w:rFonts w:ascii="Eczar" w:cs="Eczar" w:eastAsia="Eczar" w:hAnsi="Eczar"/>
          <w:sz w:val="26"/>
          <w:szCs w:val="26"/>
          <w:rtl w:val="0"/>
        </w:rPr>
        <w:t xml:space="preserve">.</w:t>
      </w:r>
    </w:p>
    <w:p w:rsidR="00000000" w:rsidDel="00000000" w:rsidP="00000000" w:rsidRDefault="00000000" w:rsidRPr="00000000" w14:paraId="0000000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394 (Commencement)</w:t>
      </w:r>
      <w:r w:rsidDel="00000000" w:rsidR="00000000" w:rsidRPr="00000000">
        <w:rPr>
          <w:rFonts w:ascii="Eczar" w:cs="Eczar" w:eastAsia="Eczar" w:hAnsi="Eczar"/>
          <w:sz w:val="26"/>
          <w:szCs w:val="26"/>
          <w:rtl w:val="0"/>
        </w:rPr>
        <w:t xml:space="preserve"> This provision outlines the timeline for the implementation of the Constitution. It specifies that certain crucial articles—specifically those dealing with citizenship, the President's oath, elections, definitions, and transitional provisions (Articles 5, 6, 7, 8, 9, 60, 324, 366, 367, 379, 380, 388, 391, 392, and 393)—</w:t>
      </w:r>
      <w:r w:rsidDel="00000000" w:rsidR="00000000" w:rsidRPr="00000000">
        <w:rPr>
          <w:rFonts w:ascii="Eczar" w:cs="Eczar" w:eastAsia="Eczar" w:hAnsi="Eczar"/>
          <w:b w:val="1"/>
          <w:bCs w:val="1"/>
          <w:sz w:val="26"/>
          <w:szCs w:val="26"/>
          <w:rtl w:val="0"/>
        </w:rPr>
        <w:t xml:space="preserve">came into force immediately at once</w:t>
      </w:r>
      <w:r w:rsidDel="00000000" w:rsidR="00000000" w:rsidRPr="00000000">
        <w:rPr>
          <w:rFonts w:ascii="Eczar" w:cs="Eczar" w:eastAsia="Eczar" w:hAnsi="Eczar"/>
          <w:sz w:val="26"/>
          <w:szCs w:val="26"/>
          <w:rtl w:val="0"/>
        </w:rPr>
        <w:t xml:space="preserve">. The remaining provisions of the Constitution came into effect on </w:t>
      </w:r>
      <w:r w:rsidDel="00000000" w:rsidR="00000000" w:rsidRPr="00000000">
        <w:rPr>
          <w:rFonts w:ascii="Eczar" w:cs="Eczar" w:eastAsia="Eczar" w:hAnsi="Eczar"/>
          <w:b w:val="1"/>
          <w:bCs w:val="1"/>
          <w:sz w:val="26"/>
          <w:szCs w:val="26"/>
          <w:rtl w:val="0"/>
        </w:rPr>
        <w:t xml:space="preserve">January 26, 1950</w:t>
      </w:r>
      <w:r w:rsidDel="00000000" w:rsidR="00000000" w:rsidRPr="00000000">
        <w:rPr>
          <w:rFonts w:ascii="Eczar" w:cs="Eczar" w:eastAsia="Eczar" w:hAnsi="Eczar"/>
          <w:sz w:val="26"/>
          <w:szCs w:val="26"/>
          <w:rtl w:val="0"/>
        </w:rPr>
        <w:t xml:space="preserve">, which is officially referred to as the date of the commencement of this Constitution.</w:t>
      </w:r>
    </w:p>
    <w:p w:rsidR="00000000" w:rsidDel="00000000" w:rsidP="00000000" w:rsidRDefault="00000000" w:rsidRPr="00000000" w14:paraId="0000000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394A (Authoritative text in the Hindi language)</w:t>
      </w:r>
      <w:r w:rsidDel="00000000" w:rsidR="00000000" w:rsidRPr="00000000">
        <w:rPr>
          <w:rFonts w:ascii="Eczar" w:cs="Eczar" w:eastAsia="Eczar" w:hAnsi="Eczar"/>
          <w:sz w:val="26"/>
          <w:szCs w:val="26"/>
          <w:rtl w:val="0"/>
        </w:rPr>
        <w:t xml:space="preserve"> Inserted by the </w:t>
      </w:r>
      <w:r w:rsidDel="00000000" w:rsidR="00000000" w:rsidRPr="00000000">
        <w:rPr>
          <w:rFonts w:ascii="Eczar" w:cs="Eczar" w:eastAsia="Eczar" w:hAnsi="Eczar"/>
          <w:b w:val="1"/>
          <w:bCs w:val="1"/>
          <w:sz w:val="26"/>
          <w:szCs w:val="26"/>
          <w:rtl w:val="0"/>
        </w:rPr>
        <w:t xml:space="preserve">Constitution (Fifty-eighth Amendment) Act, 1987</w:t>
      </w:r>
      <w:r w:rsidDel="00000000" w:rsidR="00000000" w:rsidRPr="00000000">
        <w:rPr>
          <w:rFonts w:ascii="Eczar" w:cs="Eczar" w:eastAsia="Eczar" w:hAnsi="Eczar"/>
          <w:sz w:val="26"/>
          <w:szCs w:val="26"/>
          <w:rtl w:val="0"/>
        </w:rPr>
        <w:t xml:space="preserve">, this article mandates the President to publish under his authority the translation of the Constitution and every subsequent amendment in the </w:t>
      </w:r>
      <w:r w:rsidDel="00000000" w:rsidR="00000000" w:rsidRPr="00000000">
        <w:rPr>
          <w:rFonts w:ascii="Eczar" w:cs="Eczar" w:eastAsia="Eczar" w:hAnsi="Eczar"/>
          <w:b w:val="1"/>
          <w:bCs w:val="1"/>
          <w:sz w:val="26"/>
          <w:szCs w:val="26"/>
          <w:rtl w:val="0"/>
        </w:rPr>
        <w:t xml:space="preserve">Hindi language</w:t>
      </w:r>
      <w:r w:rsidDel="00000000" w:rsidR="00000000" w:rsidRPr="00000000">
        <w:rPr>
          <w:rFonts w:ascii="Eczar" w:cs="Eczar" w:eastAsia="Eczar" w:hAnsi="Eczar"/>
          <w:sz w:val="26"/>
          <w:szCs w:val="26"/>
          <w:rtl w:val="0"/>
        </w:rPr>
        <w:t xml:space="preserve">. It ensures that this Hindi translation shall be construed to have the exact same meaning as the original English text. Furthermore, if any difficulty arises in interpretation, the President is required to cause it to be revised suitably, ensuring it remains the authoritative text in Hindi for all legal purposes.</w:t>
      </w:r>
    </w:p>
    <w:p w:rsidR="00000000" w:rsidDel="00000000" w:rsidP="00000000" w:rsidRDefault="00000000" w:rsidRPr="00000000" w14:paraId="0000000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395 (Repeals)</w:t>
      </w:r>
      <w:r w:rsidDel="00000000" w:rsidR="00000000" w:rsidRPr="00000000">
        <w:rPr>
          <w:rFonts w:ascii="Eczar" w:cs="Eczar" w:eastAsia="Eczar" w:hAnsi="Eczar"/>
          <w:sz w:val="26"/>
          <w:szCs w:val="26"/>
          <w:rtl w:val="0"/>
        </w:rPr>
        <w:t xml:space="preserve"> This final article officially terminates previous colonial-era legal frameworks. It completely repeals the </w:t>
      </w:r>
      <w:r w:rsidDel="00000000" w:rsidR="00000000" w:rsidRPr="00000000">
        <w:rPr>
          <w:rFonts w:ascii="Eczar" w:cs="Eczar" w:eastAsia="Eczar" w:hAnsi="Eczar"/>
          <w:b w:val="1"/>
          <w:bCs w:val="1"/>
          <w:sz w:val="26"/>
          <w:szCs w:val="26"/>
          <w:rtl w:val="0"/>
        </w:rPr>
        <w:t xml:space="preserve">Indian Independence Act, 1947</w:t>
      </w:r>
      <w:r w:rsidDel="00000000" w:rsidR="00000000" w:rsidRPr="00000000">
        <w:rPr>
          <w:rFonts w:ascii="Eczar" w:cs="Eczar" w:eastAsia="Eczar" w:hAnsi="Eczar"/>
          <w:sz w:val="26"/>
          <w:szCs w:val="26"/>
          <w:rtl w:val="0"/>
        </w:rPr>
        <w:t xml:space="preserve">, and the </w:t>
      </w:r>
      <w:r w:rsidDel="00000000" w:rsidR="00000000" w:rsidRPr="00000000">
        <w:rPr>
          <w:rFonts w:ascii="Eczar" w:cs="Eczar" w:eastAsia="Eczar" w:hAnsi="Eczar"/>
          <w:b w:val="1"/>
          <w:bCs w:val="1"/>
          <w:sz w:val="26"/>
          <w:szCs w:val="26"/>
          <w:rtl w:val="0"/>
        </w:rPr>
        <w:t xml:space="preserve">Government of India Act, 1935</w:t>
      </w:r>
      <w:r w:rsidDel="00000000" w:rsidR="00000000" w:rsidRPr="00000000">
        <w:rPr>
          <w:rFonts w:ascii="Eczar" w:cs="Eczar" w:eastAsia="Eczar" w:hAnsi="Eczar"/>
          <w:sz w:val="26"/>
          <w:szCs w:val="26"/>
          <w:rtl w:val="0"/>
        </w:rPr>
        <w:t xml:space="preserve">, along with all other enactments that amended or supplemented the 1935 Act. However, it explicitly clarifies that the </w:t>
      </w:r>
      <w:r w:rsidDel="00000000" w:rsidR="00000000" w:rsidRPr="00000000">
        <w:rPr>
          <w:rFonts w:ascii="Eczar" w:cs="Eczar" w:eastAsia="Eczar" w:hAnsi="Eczar"/>
          <w:b w:val="1"/>
          <w:bCs w:val="1"/>
          <w:sz w:val="26"/>
          <w:szCs w:val="26"/>
          <w:rtl w:val="0"/>
        </w:rPr>
        <w:t xml:space="preserve">Abolition of Privy Council Jurisdiction Act, 1949, is not included in this repeal</w:t>
      </w:r>
      <w:r w:rsidDel="00000000" w:rsidR="00000000" w:rsidRPr="00000000">
        <w:rPr>
          <w:rFonts w:ascii="Eczar" w:cs="Eczar" w:eastAsia="Eczar" w:hAnsi="Eczar"/>
          <w:sz w:val="26"/>
          <w:szCs w:val="26"/>
          <w:rtl w:val="0"/>
        </w:rPr>
        <w:t xml:space="preserve"> and remains unaffected.</w:t>
      </w:r>
    </w:p>
    <w:p w:rsidR="00000000" w:rsidDel="00000000" w:rsidP="00000000" w:rsidRDefault="00000000" w:rsidRPr="00000000" w14:paraId="00000006">
      <w:pPr>
        <w:spacing w:after="240" w:before="240" w:lineRule="auto"/>
        <w:ind w:left="0" w:right="0" w:firstLine="0"/>
        <w:rPr>
          <w:rFonts w:ascii="Eczar" w:cs="Eczar" w:eastAsia="Eczar" w:hAnsi="Eczar"/>
          <w:sz w:val="26"/>
          <w:szCs w:val="26"/>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left="0" w:firstLine="0"/>
        <w:rPr>
          <w:rFonts w:ascii="Eczar" w:cs="Eczar" w:eastAsia="Eczar" w:hAnsi="Eczar"/>
          <w:sz w:val="26"/>
          <w:szCs w:val="26"/>
        </w:rPr>
      </w:pPr>
      <w:r w:rsidDel="00000000" w:rsidR="00000000" w:rsidRPr="00000000">
        <w:rPr>
          <w:rtl w:val="0"/>
        </w:rPr>
      </w:r>
    </w:p>
    <w:sectPr>
      <w:pgSz w:h="15840" w:w="12240" w:orient="portrait"/>
      <w:pgMar w:bottom="1152" w:top="115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czar">
    <w:embedRegular w:fontKey="{00000000-0000-0000-0000-000000000000}" r:id="rId5" w:subsetted="0"/>
    <w:embedBold w:fontKey="{00000000-0000-0000-0000-000000000000}" r:id="rId6" w:subsetted="0"/>
  </w:font>
  <w:font w:name="Old Standard TT">
    <w:embedRegular w:fontKey="{00000000-0000-0000-0000-000000000000}" r:id="rId7" w:subsetted="0"/>
    <w:embedBold w:fontKey="{00000000-0000-0000-0000-000000000000}" r:id="rId8" w:subsetted="0"/>
    <w:embe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pPr>
    <w:rPr>
      <w:rFonts w:ascii="Old Standard TT" w:cs="Old Standard TT" w:eastAsia="Old Standard TT" w:hAnsi="Old Standard TT"/>
      <w:b w:val="1"/>
      <w:bCs w:val="1"/>
      <w:sz w:val="28"/>
      <w:szCs w:val="28"/>
    </w:rPr>
  </w:style>
  <w:style w:type="paragraph" w:styleId="Heading2">
    <w:name w:val="heading 2"/>
    <w:basedOn w:val="Normal"/>
    <w:next w:val="Normal"/>
    <w:pPr>
      <w:pageBreakBefore w:val="0"/>
    </w:pPr>
    <w:rPr>
      <w:b w:val="1"/>
      <w:bCs w:val="1"/>
    </w:rPr>
  </w:style>
  <w:style w:type="paragraph" w:styleId="Heading3">
    <w:name w:val="heading 3"/>
    <w:basedOn w:val="Normal"/>
    <w:next w:val="Normal"/>
    <w:pPr>
      <w:pageBreakBefore w:val="0"/>
      <w:ind w:left="0" w:firstLine="0"/>
    </w:pPr>
    <w:rPr>
      <w:i w:val="1"/>
      <w:iCs w:val="1"/>
    </w:rPr>
  </w:style>
  <w:style w:type="paragraph" w:styleId="Heading4">
    <w:name w:val="heading 4"/>
    <w:basedOn w:val="Normal"/>
    <w:next w:val="Normal"/>
    <w:pPr>
      <w:pageBreakBefore w:val="0"/>
      <w:widowControl w:val="0"/>
      <w:spacing w:before="0" w:lineRule="auto"/>
    </w:pPr>
    <w:rPr>
      <w:rFonts w:ascii="Old Standard TT" w:cs="Old Standard TT" w:eastAsia="Old Standard TT" w:hAnsi="Old Standard TT"/>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Old Standard TT" w:cs="Old Standard TT" w:eastAsia="Old Standard TT" w:hAnsi="Old Standard TT"/>
      <w:b w:val="1"/>
      <w:bCs w:val="1"/>
      <w:color w:val="00a797"/>
      <w:sz w:val="72"/>
      <w:szCs w:val="72"/>
    </w:rPr>
  </w:style>
  <w:style w:type="paragraph" w:styleId="Subtitle">
    <w:name w:val="Subtitle"/>
    <w:basedOn w:val="Normal"/>
    <w:next w:val="Normal"/>
    <w:pPr>
      <w:pageBreakBefore w:val="0"/>
      <w:widowControl w:val="0"/>
      <w:spacing w:before="0" w:lineRule="auto"/>
    </w:pPr>
    <w:rPr>
      <w:rFonts w:ascii="Old Standard TT" w:cs="Old Standard TT" w:eastAsia="Old Standard TT" w:hAnsi="Old Standard TT"/>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9" Type="http://schemas.openxmlformats.org/officeDocument/2006/relationships/font" Target="fonts/OldStandardTT-italic.ttf"/><Relationship Id="rId5" Type="http://schemas.openxmlformats.org/officeDocument/2006/relationships/font" Target="fonts/Eczar-regular.ttf"/><Relationship Id="rId6" Type="http://schemas.openxmlformats.org/officeDocument/2006/relationships/font" Target="fonts/Eczar-bold.ttf"/><Relationship Id="rId7" Type="http://schemas.openxmlformats.org/officeDocument/2006/relationships/font" Target="fonts/OldStandardTT-regular.ttf"/><Relationship Id="rId8" Type="http://schemas.openxmlformats.org/officeDocument/2006/relationships/font" Target="fonts/OldStandardT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