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spacing w:after="240" w:before="240" w:lineRule="auto"/>
        <w:rPr>
          <w:rFonts w:ascii="Eczar" w:cs="Eczar" w:eastAsia="Eczar" w:hAnsi="Eczar"/>
          <w:b w:val="1"/>
          <w:bCs w:val="1"/>
          <w:sz w:val="26"/>
          <w:szCs w:val="26"/>
        </w:rPr>
      </w:pPr>
      <w:r w:rsidDel="00000000" w:rsidR="00000000" w:rsidRPr="00000000">
        <w:rPr>
          <w:rFonts w:ascii="Eczar" w:cs="Eczar" w:eastAsia="Eczar" w:hAnsi="Eczar"/>
          <w:b w:val="1"/>
          <w:bCs w:val="1"/>
          <w:sz w:val="26"/>
          <w:szCs w:val="26"/>
          <w:rtl w:val="0"/>
        </w:rPr>
        <w:t xml:space="preserve">323A. Administrative tribunals.</w:t>
      </w:r>
    </w:p>
    <w:p w:rsidR="00000000" w:rsidDel="00000000" w:rsidP="00000000" w:rsidRDefault="00000000" w:rsidRPr="00000000" w14:paraId="00000002">
      <w:pPr>
        <w:spacing w:after="240" w:before="240" w:lineRule="auto"/>
        <w:rPr>
          <w:rFonts w:ascii="Eczar" w:cs="Eczar" w:eastAsia="Eczar" w:hAnsi="Eczar"/>
          <w:sz w:val="26"/>
          <w:szCs w:val="26"/>
        </w:rPr>
      </w:pPr>
      <w:r w:rsidDel="00000000" w:rsidR="00000000" w:rsidRPr="00000000">
        <w:rPr>
          <w:rFonts w:ascii="Eczar" w:cs="Eczar" w:eastAsia="Eczar" w:hAnsi="Eczar"/>
          <w:sz w:val="26"/>
          <w:szCs w:val="26"/>
          <w:rtl w:val="0"/>
        </w:rPr>
        <w:t xml:space="preserve">This article empowers the Parliament to establish specialized administrative tribunals to handle legal disputes and complaints regarding the recruitment and conditions of service for individuals appointed to public services. This includes persons working for the Union government, any State government, local authorities, or corporations owned and controlled by the Government of India. The primary goal is to provide a dedicated and speedy forum for government employees to resolve service-related grievances, thereby reducing the burden on traditional civil courts. Under this provision, Parliament can define the jurisdiction and powers of these tribunals, including the authority to punish for contempt, and can specify the legal procedures they must follow. Significantly, the law can exclude the jurisdiction of all regular courts regarding these service matters, with the exception of the Supreme Court of India’s power to grant special leave to appeal. This ensures that while administrative matters are handled by specialized bodies, the ultimate constitutional oversight of the highest court remains intact.</w:t>
      </w:r>
    </w:p>
    <w:p w:rsidR="00000000" w:rsidDel="00000000" w:rsidP="00000000" w:rsidRDefault="00000000" w:rsidRPr="00000000" w14:paraId="00000003">
      <w:pPr>
        <w:spacing w:after="240" w:before="240" w:lineRule="auto"/>
        <w:rPr>
          <w:rFonts w:ascii="Eczar" w:cs="Eczar" w:eastAsia="Eczar" w:hAnsi="Eczar"/>
          <w:b w:val="1"/>
          <w:bCs w:val="1"/>
          <w:sz w:val="26"/>
          <w:szCs w:val="26"/>
        </w:rPr>
      </w:pPr>
      <w:r w:rsidDel="00000000" w:rsidR="00000000" w:rsidRPr="00000000">
        <w:rPr>
          <w:rFonts w:ascii="Eczar" w:cs="Eczar" w:eastAsia="Eczar" w:hAnsi="Eczar"/>
          <w:b w:val="1"/>
          <w:bCs w:val="1"/>
          <w:sz w:val="26"/>
          <w:szCs w:val="26"/>
          <w:rtl w:val="0"/>
        </w:rPr>
        <w:t xml:space="preserve">323B. Tribunals for other matters.</w:t>
      </w:r>
    </w:p>
    <w:p w:rsidR="00000000" w:rsidDel="00000000" w:rsidP="00000000" w:rsidRDefault="00000000" w:rsidRPr="00000000" w14:paraId="00000004">
      <w:pPr>
        <w:spacing w:after="240" w:before="240" w:lineRule="auto"/>
        <w:rPr>
          <w:rFonts w:ascii="Eczar" w:cs="Eczar" w:eastAsia="Eczar" w:hAnsi="Eczar"/>
          <w:sz w:val="26"/>
          <w:szCs w:val="26"/>
        </w:rPr>
      </w:pPr>
      <w:r w:rsidDel="00000000" w:rsidR="00000000" w:rsidRPr="00000000">
        <w:rPr>
          <w:rFonts w:ascii="Eczar" w:cs="Eczar" w:eastAsia="Eczar" w:hAnsi="Eczar"/>
          <w:sz w:val="26"/>
          <w:szCs w:val="26"/>
          <w:rtl w:val="0"/>
        </w:rPr>
        <w:t xml:space="preserve">Unlike the previous article which is limited to service matters and the Parliament's authority, this provision allows the "appropriate legislature"—which can be either the Parliament or a State Legislature depending on their legislative powers—to create tribunals for a wide range of other specific subjects. These matters include the assessment and collection of taxes, foreign exchange and customs, industrial and labor disputes, land reforms, urban property ceilings, and even disputes related to elections for Parliament or State Legislatures. It also covers the regulation of essential goods like food-stuffs and tenancy issues such as rent control and the rights of landlords and tenants. The law establishing these tribunals can create a hierarchy of specialized bodies, define their specific authority, and establish the rules of evidence and limitation they must follow. Similar to administrative tribunals, the legislature has the power to transfer pending cases from regular courts to these specialized tribunals and limit the jurisdiction of ordinary courts, ensuring that complex technical and social issues are adjudicated by experts while maintaining the Supreme Court's ultimate judicial review power.</w:t>
      </w:r>
    </w:p>
    <w:p w:rsidR="00000000" w:rsidDel="00000000" w:rsidP="00000000" w:rsidRDefault="00000000" w:rsidRPr="00000000" w14:paraId="00000005">
      <w:pPr>
        <w:rPr>
          <w:rFonts w:ascii="Eczar" w:cs="Eczar" w:eastAsia="Eczar" w:hAnsi="Eczar"/>
          <w:sz w:val="26"/>
          <w:szCs w:val="26"/>
        </w:rPr>
      </w:pPr>
      <w:r w:rsidDel="00000000" w:rsidR="00000000" w:rsidRPr="00000000">
        <w:rPr>
          <w:rtl w:val="0"/>
        </w:rPr>
      </w:r>
    </w:p>
    <w:sectPr>
      <w:pgSz w:h="16838" w:w="11906" w:orient="portrait"/>
      <w:pgMar w:bottom="431.99999999999994" w:top="576"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Eczar">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Eczar-regular.ttf"/><Relationship Id="rId2" Type="http://schemas.openxmlformats.org/officeDocument/2006/relationships/font" Target="fonts/Eczar-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