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kgw0uujgwnhl" w:id="0"/>
      <w:bookmarkEnd w:id="0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324: Superintendence, Direction and Control of Elections</w:t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This article vests the management of elections in an independent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Election Commission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1: Power and Scope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superintendence, direction, and control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of the preparation of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electoral rolls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and the conduct of all elections are vested in the Election Commission. This includes elections to: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Parliament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(Lok Sabha and Rajya Sabha).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Legislature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of every State.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offices of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President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Vice-President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2: Composition and Appointment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The Commission consists of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Chief Election Commissioner (CEC)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and other Election Commissioners as fixed and appointed by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President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, subject to laws made by Parliament.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3: The Chairman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When other Election Commissioners are appointed, the CEC acts as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Chairman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of the Election Commission.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4: Regional Commissioners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The President may appoint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Regional Commissioners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after consultation with the Election Commission to assist in its functions before general or biennial elections.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5: Tenure and Conditions of Service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The conditions of service and tenure are determined by the President (subject to Parliament’s law). To ensure independence: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CEC shall not be removed except in like manner and on like grounds as a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Judge of the Supreme Court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Conditions of service shall not be varied to the CEC's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after appointment.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Other Commissioners can only be removed on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recommendation of the CEC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Clause 6: Staffing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The President or the Governor of a State must provide the necessary staff to the Commission for the discharge of its functions when requested.</w:t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akdyr9yijor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w5x3bqeci9bt" w:id="2"/>
      <w:bookmarkEnd w:id="2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325: No person to be ineligible for inclusion in a general electoral roll</w:t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This article ensures equality and non-discrimination in the electoral process.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There shall be one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general electoral roll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for every territorial constituency.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No person shall be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ineligible for inclusion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or claim to be included in any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special electoral roll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on grounds only of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religion, race, caste, sex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, or any of them.</w:t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ya410smnaxm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xb4n5v7sfv7o" w:id="4"/>
      <w:bookmarkEnd w:id="4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326: Elections on the basis of Adult Suffrage</w:t>
      </w:r>
    </w:p>
    <w:p w:rsidR="00000000" w:rsidDel="00000000" w:rsidP="00000000" w:rsidRDefault="00000000" w:rsidRPr="00000000" w14:paraId="00000016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This article defines the voting rights for the House of the People (Lok Sabha) and Legislative Assemblies.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Elections shall be on the basis of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adult suffrage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Every citizen of India who is not less than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eighteen years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of age is entitled to be registered as a voter.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Disqualifications: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A person may be disqualified under the Constitution or any law on grounds of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non-residence, unsoundness of mind, crime, or corrupt or illegal practice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oa2hqz1684g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ixla4l7ywgtr" w:id="6"/>
      <w:bookmarkEnd w:id="6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327: Power of Parliament to make provision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Subject to the Constitution,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Parliament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may by law make provisions for all matters relating to elections to either House of Parliament or State Legislatures, including: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preparation of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electoral rolls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delimitation of constituencies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allotment of seats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b7mu5xn0i2w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Rule="auto"/>
        <w:ind w:left="0" w:right="0" w:firstLine="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acbwtosvcrq6" w:id="8"/>
      <w:bookmarkEnd w:id="8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328: Power of Legislature of a State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Insofar as provision is not made by Parliament,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Legislature of a State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may make laws for that State regarding elections to its House or Houses.</w:t>
      </w:r>
    </w:p>
    <w:p w:rsidR="00000000" w:rsidDel="00000000" w:rsidP="00000000" w:rsidRDefault="00000000" w:rsidRPr="00000000" w14:paraId="00000023">
      <w:pPr>
        <w:pStyle w:val="Heading3"/>
        <w:spacing w:after="80" w:before="280" w:lineRule="auto"/>
        <w:ind w:left="720" w:right="0" w:hanging="360"/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</w:rPr>
      </w:pPr>
      <w:bookmarkStart w:colFirst="0" w:colLast="0" w:name="_p8jkvajvk0tf" w:id="9"/>
      <w:bookmarkEnd w:id="9"/>
      <w:r w:rsidDel="00000000" w:rsidR="00000000" w:rsidRPr="00000000">
        <w:rPr>
          <w:rFonts w:ascii="Eczar" w:cs="Eczar" w:eastAsia="Eczar" w:hAnsi="Eczar"/>
          <w:b w:val="1"/>
          <w:bCs w:val="1"/>
          <w:i w:val="0"/>
          <w:iCs w:val="0"/>
          <w:sz w:val="26"/>
          <w:szCs w:val="26"/>
          <w:rtl w:val="0"/>
        </w:rPr>
        <w:t xml:space="preserve">Article 329: Bar to interference by courts in electoral matters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This article limits judicial intervention to ensure the election process is not delayed.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The validity of any law relating to the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delimitation of constituencies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or allotment of seats shall not be called in question in any court.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No election shall be called in question except by an </w:t>
      </w:r>
      <w:r w:rsidDel="00000000" w:rsidR="00000000" w:rsidRPr="00000000">
        <w:rPr>
          <w:rFonts w:ascii="Eczar" w:cs="Eczar" w:eastAsia="Eczar" w:hAnsi="Eczar"/>
          <w:b w:val="1"/>
          <w:bCs w:val="1"/>
          <w:sz w:val="24"/>
          <w:szCs w:val="24"/>
          <w:rtl w:val="0"/>
        </w:rPr>
        <w:t xml:space="preserve">election petition</w:t>
      </w:r>
      <w:r w:rsidDel="00000000" w:rsidR="00000000" w:rsidRPr="00000000">
        <w:rPr>
          <w:rFonts w:ascii="Eczar" w:cs="Eczar" w:eastAsia="Eczar" w:hAnsi="Eczar"/>
          <w:sz w:val="24"/>
          <w:szCs w:val="24"/>
          <w:rtl w:val="0"/>
        </w:rPr>
        <w:t xml:space="preserve"> presented to such authority and in such manner as provided by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Eczar" w:cs="Eczar" w:eastAsia="Eczar" w:hAnsi="Ecza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czar">
    <w:embedRegular w:fontKey="{00000000-0000-0000-0000-000000000000}" r:id="rId5" w:subsetted="0"/>
    <w:embedBold w:fontKey="{00000000-0000-0000-0000-000000000000}" r:id="rId6" w:subsetted="0"/>
  </w:font>
  <w:font w:name="Old Standard T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en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0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pageBreakBefore w:val="0"/>
      <w:ind w:left="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widowControl w:val="0"/>
      <w:spacing w:before="0" w:lineRule="auto"/>
    </w:pPr>
    <w:rPr>
      <w:rFonts w:ascii="Old Standard TT" w:cs="Old Standard TT" w:eastAsia="Old Standard TT" w:hAnsi="Old Standard TT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9" Type="http://schemas.openxmlformats.org/officeDocument/2006/relationships/font" Target="fonts/OldStandardTT-italic.ttf"/><Relationship Id="rId5" Type="http://schemas.openxmlformats.org/officeDocument/2006/relationships/font" Target="fonts/Eczar-regular.ttf"/><Relationship Id="rId6" Type="http://schemas.openxmlformats.org/officeDocument/2006/relationships/font" Target="fonts/Eczar-bold.ttf"/><Relationship Id="rId7" Type="http://schemas.openxmlformats.org/officeDocument/2006/relationships/font" Target="fonts/OldStandardTT-regular.ttf"/><Relationship Id="rId8" Type="http://schemas.openxmlformats.org/officeDocument/2006/relationships/font" Target="fonts/OldStandardT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