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9ED"/>
  <w:body>
    <w:p w:rsidR="00000000" w:rsidDel="00000000" w:rsidP="00000000" w:rsidRDefault="00000000" w:rsidRPr="00000000" w14:paraId="00000001">
      <w:pPr>
        <w:pStyle w:val="Heading3"/>
        <w:spacing w:after="80" w:before="280" w:lineRule="auto"/>
        <w:ind w:right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11t80rxqoi1" w:id="0"/>
      <w:bookmarkEnd w:id="0"/>
      <w:r w:rsidDel="00000000" w:rsidR="00000000" w:rsidRPr="00000000"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  <w:rtl w:val="0"/>
        </w:rPr>
        <w:t xml:space="preserve">अनुच्छेद 324: निर्वाचनों के अधीक्षण, निदेशन और नियंत्रण का निर्वाचन आयोग में निहित होना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यह अनुच्छेद निर्वाचनों के प्रबंधन के लिए एक स्वतंत्र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निर्वाचन आयोग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की स्थापना करता है।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(1): शक्ति और कार्यक्षेत्र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संसद् और प्रत्येक राज्य के विधान-मंडल के लिए कराए जाने वाले सभी निर्वाचनों के लिए तथा राष्ट्रपति और उपराष्ट्रपति के पदों के लिए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निर्वाचक-नामावली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तैयार कराने का और उन सभी निर्वाचनों के संचालन का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अधीक्षण, निदेशन और नियंत्रण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, एक आयोग में निहित होगा।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(2): संरचना और नियुक्ति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निर्वाचन आयोग मुख्य निर्वाचन आयुक्त और उतने अन्य निर्वाचन आयुक्तों से मिलकर बनेगा, जितने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राष्ट्रपति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समय-समय पर नियत करे। इनकी नियुक्ति राष्ट्रपति द्वारा संसद् की विधि के अधीन की जाएगी।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(3): अध्यक्ष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जब अन्य निर्वाचन आयुक्त नियुक्त किए जाते हैं, तब मुख्य निर्वाचन आयुक्त निर्वाचन आयोग के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अध्यक्ष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के रूप में कार्य करेगा।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(4): प्रादेशिक आयुक्त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साधारण निर्वाचन या द्विवार्षिक निर्वाचन से पहले, राष्ट्रपति निर्वाचन आयोग की सहायता के लिए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प्रादेशिक आयुक्तों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की नियुक्ति कर सकेगा।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(5): सेवा की शर्तें और पदावधि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निर्वाचन आयुक्तों की सेवा की शर्तें और पदावधि राष्ट्रपति द्वारा निर्धारित की जाएंगी। स्वतंत्रता सुनिश्चित करने के लिए: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मुख्य निर्वाचन आयुक्त को उसी रीति से हटाया जाएगा जिस रीति से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उच्चतम न्यायालय के न्यायाधीश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को हटाया जाता है।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नियुक्ति के पश्चात् उनकी सेवा की शर्तों में कोई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अलाभकारी परिवर्तन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नहीं किया जाएगा।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अन्य आयुक्तों को केवल मुख्य निर्वाचन आयुक्त की सिफारिश पर ही हटाया जा सकेगा।</w:t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(6): कर्मचारिवृन्द (Staff)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निर्वाचन आयोग के अनुरोध पर, राष्ट्रपति या राज्य का राज्यपाल आयोग को उसके कार्यों के निर्वहन के लिए आवश्यक कर्मचारी उपलब्ध कराएगा।</w:t>
      </w:r>
    </w:p>
    <w:p w:rsidR="00000000" w:rsidDel="00000000" w:rsidP="00000000" w:rsidRDefault="00000000" w:rsidRPr="00000000" w14:paraId="0000000C">
      <w:pPr>
        <w:pStyle w:val="Heading3"/>
        <w:spacing w:after="80" w:before="280" w:lineRule="auto"/>
        <w:ind w:right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bs8b6ucyj1o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80" w:before="280" w:lineRule="auto"/>
        <w:ind w:right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idl6epkw4ot8" w:id="2"/>
      <w:bookmarkEnd w:id="2"/>
      <w:r w:rsidDel="00000000" w:rsidR="00000000" w:rsidRPr="00000000"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  <w:rtl w:val="0"/>
        </w:rPr>
        <w:t xml:space="preserve">अनुच्छेद 325: धर्म, मूलवंश, जाति या लिंग के आधार पर अपात्र न होना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यह अनुच्छेद निर्वाचक-नामावली में समानता सुनिश्चित करता है।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प्रत्येक प्रादेशिक निर्वाचन-क्षेत्र के लिए एक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साधारण निर्वाचक-नामावली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होगी।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कोई भी व्यक्ति केवल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धर्म, मूलवंश, जाति, लिंग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या इनमें से किसी के आधार पर निर्वाचक-नामावली में सम्मिलित किए जाने के लिए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अपात्र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नहीं होगा और न ही किसी विशेष नामावली का दावा कर सकेगा।</w:t>
      </w:r>
    </w:p>
    <w:p w:rsidR="00000000" w:rsidDel="00000000" w:rsidP="00000000" w:rsidRDefault="00000000" w:rsidRPr="00000000" w14:paraId="00000011">
      <w:pPr>
        <w:pStyle w:val="Heading3"/>
        <w:spacing w:after="80" w:before="280" w:lineRule="auto"/>
        <w:ind w:right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ilbi38fpt47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80" w:before="280" w:lineRule="auto"/>
        <w:ind w:right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mlesx8lgnymu" w:id="4"/>
      <w:bookmarkEnd w:id="4"/>
      <w:r w:rsidDel="00000000" w:rsidR="00000000" w:rsidRPr="00000000"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  <w:rtl w:val="0"/>
        </w:rPr>
        <w:t xml:space="preserve">अनुच्छेद 326: वयस्क मताधिकार के आधार पर निर्वाचन</w:t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यह अनुच्छेद लोक सभा और राज्यों की विधान सभाओं के लिए मतदान के अधिकार को परिभाषित करता है।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निर्वाचन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वयस्क मताधिकार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के आधार पर होंगे।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प्रत्येक व्यक्ति जो भारत का नागरिक है और कम से कम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अठारह वर्ष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की आयु का है, मतदाता के रूप में पंजीकृत होने का हकदार होगा।(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61वें संविधान संशोधन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के तहत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1989 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में मतदान की आयु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21 वर्ष से बदलकर 18 वर्ष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की गई।)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निरर्हता (Disqualification):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अनिवास, चित्तविकृति, अपराध या भ्रष्ट या अवैध आचरण के आधार पर किसी व्यक्ति को वंचित किया जा सकता है।</w:t>
      </w:r>
    </w:p>
    <w:p w:rsidR="00000000" w:rsidDel="00000000" w:rsidP="00000000" w:rsidRDefault="00000000" w:rsidRPr="00000000" w14:paraId="00000017">
      <w:pPr>
        <w:pStyle w:val="Heading3"/>
        <w:spacing w:after="80" w:before="280" w:lineRule="auto"/>
        <w:ind w:right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3l3bbnhan29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80" w:before="280" w:lineRule="auto"/>
        <w:ind w:right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2goil4cnsayz" w:id="6"/>
      <w:bookmarkEnd w:id="6"/>
      <w:r w:rsidDel="00000000" w:rsidR="00000000" w:rsidRPr="00000000"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  <w:rtl w:val="0"/>
        </w:rPr>
        <w:t xml:space="preserve">अनुच्छेद 327: संसद् की विधान-मंडलों के निर्वाचनों के संबंध में शक्ति</w:t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संविधान के अधीन रहते हुए,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संसद्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निर्वाचन से संबंधित सभी विषयों पर विधि बना सकती है, जिसमें शामिल हैं: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निर्वाचक-नामावली तैयार कराना।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निर्वाचन-क्षेत्रों का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परिसीमन (Delimitation)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।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स्थानों का आबंटन।</w:t>
      </w:r>
    </w:p>
    <w:p w:rsidR="00000000" w:rsidDel="00000000" w:rsidP="00000000" w:rsidRDefault="00000000" w:rsidRPr="00000000" w14:paraId="0000001D">
      <w:pPr>
        <w:pStyle w:val="Heading3"/>
        <w:spacing w:after="80" w:before="280" w:lineRule="auto"/>
        <w:ind w:right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iqe1iddo63n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80" w:before="280" w:lineRule="auto"/>
        <w:ind w:right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xt9fmuo6m4ju" w:id="8"/>
      <w:bookmarkEnd w:id="8"/>
      <w:r w:rsidDel="00000000" w:rsidR="00000000" w:rsidRPr="00000000"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  <w:rtl w:val="0"/>
        </w:rPr>
        <w:t xml:space="preserve">अनुच्छेद 328: किसी राज्य के विधान-मंडल की शक्ति</w:t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जहाँ तक संसद् इस विषय पर प्रावधान नहीं करती है, वहाँ तक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राज्य का विधान-मंडल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उस राज्य के निर्वाचनों के संबंध में विधि बना सकता है।</w:t>
      </w:r>
    </w:p>
    <w:p w:rsidR="00000000" w:rsidDel="00000000" w:rsidP="00000000" w:rsidRDefault="00000000" w:rsidRPr="00000000" w14:paraId="00000020">
      <w:pPr>
        <w:pStyle w:val="Heading3"/>
        <w:spacing w:after="80" w:before="280" w:lineRule="auto"/>
        <w:ind w:right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6y1sx5wqyjb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280" w:lineRule="auto"/>
        <w:ind w:right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g9jp6qdwxmhf" w:id="10"/>
      <w:bookmarkEnd w:id="10"/>
      <w:r w:rsidDel="00000000" w:rsidR="00000000" w:rsidRPr="00000000"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  <w:rtl w:val="0"/>
        </w:rPr>
        <w:t xml:space="preserve">अनुच्छेद 329: निर्वाचन संबंधी मामलों में न्यायालयों के हस्तक्षेप का वर्जन</w:t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यह अनुच्छेद निर्वाचन प्रक्रिया में न्यायिक हस्तक्षेप को सीमित करता है: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निर्वाचन-क्षेत्रों के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परिसीमन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या स्थानों के आबंटन से संबंधित किसी विधि की विधिमान्यता को किसी न्यायालय में प्रश्नगत नहीं किया जाएगा।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किसी निर्वाचन को केवल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निर्वाचन अर्जी (Election Petition)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के माध्यम से ही प्रश्नगत किया जा सकता है, जो उचित प्राधिकारी को कानून द्वारा निर्धारित रीति से प्रस्तुत की गई हो।</w:t>
      </w:r>
    </w:p>
    <w:p w:rsidR="00000000" w:rsidDel="00000000" w:rsidP="00000000" w:rsidRDefault="00000000" w:rsidRPr="00000000" w14:paraId="00000025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czar">
    <w:embedRegular w:fontKey="{00000000-0000-0000-0000-000000000000}" r:id="rId5" w:subsetted="0"/>
    <w:embedBold w:fontKey="{00000000-0000-0000-0000-000000000000}" r:id="rId6" w:subsetted="0"/>
  </w:font>
  <w:font w:name="Old Standard T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Serif" w:cs="PT Serif" w:eastAsia="PT Serif" w:hAnsi="PT Serif"/>
        <w:sz w:val="22"/>
        <w:szCs w:val="22"/>
        <w:lang w:val="en"/>
      </w:rPr>
    </w:rPrDefault>
    <w:pPrDefault>
      <w:pPr>
        <w:spacing w:before="200" w:line="312" w:lineRule="auto"/>
        <w:ind w:left="-15" w:righ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00" w:lineRule="auto"/>
    </w:pPr>
    <w:rPr>
      <w:rFonts w:ascii="Old Standard TT" w:cs="Old Standard TT" w:eastAsia="Old Standard TT" w:hAnsi="Old Standard TT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pageBreakBefore w:val="0"/>
      <w:ind w:left="0" w:firstLine="0"/>
    </w:pPr>
    <w:rPr>
      <w:i w:val="1"/>
      <w:iCs w:val="1"/>
    </w:rPr>
  </w:style>
  <w:style w:type="paragraph" w:styleId="Heading4">
    <w:name w:val="heading 4"/>
    <w:basedOn w:val="Normal"/>
    <w:next w:val="Normal"/>
    <w:pPr>
      <w:pageBreakBefore w:val="0"/>
      <w:widowControl w:val="0"/>
      <w:spacing w:before="0" w:lineRule="auto"/>
    </w:pPr>
    <w:rPr>
      <w:rFonts w:ascii="Old Standard TT" w:cs="Old Standard TT" w:eastAsia="Old Standard TT" w:hAnsi="Old Standard TT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Old Standard TT" w:cs="Old Standard TT" w:eastAsia="Old Standard TT" w:hAnsi="Old Standard TT"/>
      <w:b w:val="1"/>
      <w:bCs w:val="1"/>
      <w:color w:val="00a797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widowControl w:val="0"/>
      <w:spacing w:before="0" w:lineRule="auto"/>
    </w:pPr>
    <w:rPr>
      <w:rFonts w:ascii="Old Standard TT" w:cs="Old Standard TT" w:eastAsia="Old Standard TT" w:hAnsi="Old Standard TT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Relationship Id="rId9" Type="http://schemas.openxmlformats.org/officeDocument/2006/relationships/font" Target="fonts/OldStandardTT-italic.ttf"/><Relationship Id="rId5" Type="http://schemas.openxmlformats.org/officeDocument/2006/relationships/font" Target="fonts/Eczar-regular.ttf"/><Relationship Id="rId6" Type="http://schemas.openxmlformats.org/officeDocument/2006/relationships/font" Target="fonts/Eczar-bold.ttf"/><Relationship Id="rId7" Type="http://schemas.openxmlformats.org/officeDocument/2006/relationships/font" Target="fonts/OldStandardTT-regular.ttf"/><Relationship Id="rId8" Type="http://schemas.openxmlformats.org/officeDocument/2006/relationships/font" Target="fonts/OldStandardT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