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软件输入信息：客户提供表格注明样品编号（ID）和稀释倍数,专题代号。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一般流程：加稀释液到稀释板（liquidClass A），加样品到稀释板（liquidClass B），Mix（liquidClass C），将样品转移到反应板（liquidClass D）。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支持Diti和钢针两种不同配置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每稀释一个浓度都要换新的吸头（或洗针，钢针加入去污染的option）。使用DiTi的时候每稀释完8个样品wash tip一次（体积可选）。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每列稀释后震荡作为可选项。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每个样品支持不同的稀释倍数（1-625万倍）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每个样品稀释后加到反应板中都做复孔（2-6个复孔）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使用1000ul吸头，吸液的体积范围20ul-980ul（稀释倍数最大50倍）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用最大50倍稀释度时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每个样品最大稀释4个梯度（涉及到板布局，每个96孔的深孔板可稀释24个样本）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梯度稀释，每次x倍（2≤x&lt;10） （在最高625万倍稀释倍数以及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双行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12个孔的条件下，允许使用不同的稀释方式，比如2，3,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4或5倍的倍比稀释。）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标准曲线稀释到深孔板（1-200倍稀释），6-15个不同浓度梯度。标准品稀释后转入反应板也做复孔（2-6个复孔，复孔数目等同样品数）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提供板布局的图形配置界面(显示样品ID号，稀释倍数)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根据EVOware给出instanceID，Dilution软件读取客户对应的表格并给出对应的worklist。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Dilution软件弹出界面提示导入文件不合规范样本的信息（如稀释倍数不合规），提示错误停止运行。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Dilution软件让客户输入反应板条码，按照instance数输出一个文本供EVOware导入条码以对应反应板。（可以用扫码的方式或者手工键入的方式输入反应板批号）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以反应板批号做文件名生成包含稀释倍数的TPL文件并按照专题代号保存。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检测重复板批号。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用户更改程序的Audit Trail功能。（用户更改板布局图要求输入用户名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密码和更改理由，并做记录，以后可以查验）。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Wingdings" w:hAnsi="Wingdings" w:eastAsia="宋体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查询并显示用户的修改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（audit trail内容可以从查询界面上复制到word以便打印）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60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2016-10-29T23:24:01Z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