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000000"/>
          <w:sz w:val="32"/>
        </w:rPr>
        <w:t>건설폐기물 처리업 변경신고 총정리</w:t>
      </w:r>
    </w:p>
    <w:p>
      <w:pPr>
        <w:pStyle w:val="law1"/>
      </w:pPr>
      <w:r>
        <w:rPr>
          <w:rFonts w:ascii="맑은 고딕" w:hAnsi="맑은 고딕" w:eastAsia="맑은 고딕"/>
          <w:color w:val="000000"/>
        </w:rPr>
        <w:t>건설폐기물의 재활용촉진에 관한 법률 제22조 제2항~제4항 · 시행규칙 제13조의2</w:t>
      </w:r>
    </w:p>
    <w:p>
      <w:pPr>
        <w:spacing w:after="200" w:line="348" w:lineRule="auto"/>
      </w:pPr>
      <w:r>
        <w:rPr>
          <w:rFonts w:ascii="맑은 고딕" w:hAnsi="맑은 고딕" w:eastAsia="맑은 고딕"/>
          <w:color w:val="000000"/>
          <w:sz w:val="20"/>
        </w:rPr>
        <w:t>건설폐기물 처리업 허가를 받은 자가 허가받은 사항 중 경미한 사항을 변경하는 경우에는 변경신고를 합니다(법 제22조 제2항). 변경신고 대상 경미한 사항과 신고 시기·방법을 정리합니다.</w:t>
      </w:r>
    </w:p>
    <w:p>
      <w:pPr>
        <w:pStyle w:val="2"/>
      </w:pPr>
      <w:r>
        <w:rPr>
          <w:rFonts w:ascii="맑은 고딕" w:hAnsi="맑은 고딕" w:eastAsia="맑은 고딕"/>
          <w:color w:val="000000"/>
        </w:rPr>
        <w:t>1. 변경신고 대상 및 시기</w:t>
      </w:r>
    </w:p>
    <w:p>
      <w:pPr>
        <w:spacing w:after="80"/>
      </w:pPr>
      <w:r>
        <w:rPr>
          <w:rFonts w:ascii="맑은 고딕" w:hAnsi="맑은 고딕" w:eastAsia="맑은 고딕"/>
          <w:color w:val="000000"/>
          <w:sz w:val="18"/>
        </w:rPr>
        <w:t>근거: 건설폐기물법 시행규칙 제13조의2 제1항·제2항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900"/>
        <w:gridCol w:w="5760"/>
        <w:gridCol w:w="2340"/>
      </w:tblGrid>
      <w:tr>
        <w:trPr>
          <w:tblHeader w:val="true"/>
        </w:trPr>
        <w:tc>
          <w:tcPr>
            <w:tcW w:type="dxa" w:w="9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호</w:t>
            </w:r>
          </w:p>
        </w:tc>
        <w:tc>
          <w:tcPr>
            <w:tcW w:type="dxa" w:w="57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변경신고 대상 경미한 사항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신고 시기</w:t>
            </w:r>
          </w:p>
        </w:tc>
      </w:tr>
      <w:tr>
        <w:tc>
          <w:tcPr>
            <w:tcW w:type="dxa" w:w="9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제1호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상호의 변경 (권리·의무 승계에 따른 변경은 제외)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사유 발생일부터 30일 이내</w:t>
            </w:r>
          </w:p>
        </w:tc>
      </w:tr>
      <w:tr>
        <w:tc>
          <w:tcPr>
            <w:tcW w:type="dxa" w:w="9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제2호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대표자의 변경 (권리·의무 승계에 따른 변경은 제외)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사유 발생일부터 30일 이내</w:t>
            </w:r>
          </w:p>
        </w:tc>
      </w:tr>
      <w:tr>
        <w:tc>
          <w:tcPr>
            <w:tcW w:type="dxa" w:w="9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제3호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연락장소 또는 사무실 소재지의 변경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변경 전</w:t>
            </w:r>
          </w:p>
        </w:tc>
      </w:tr>
      <w:tr>
        <w:tc>
          <w:tcPr>
            <w:tcW w:type="dxa" w:w="9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제4호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운반차량의 감차 또는 교체 (임시차량 제외)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변경 전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  <w:color w:val="000000"/>
        </w:rPr>
        <w:t>2. 신고 방법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800"/>
        <w:gridCol w:w="7200"/>
      </w:tblGrid>
      <w:tr>
        <w:trPr>
          <w:tblHeader w:val="true"/>
        </w:trPr>
        <w:tc>
          <w:tcPr>
            <w:tcW w:type="dxa" w:w="18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72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18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신고서</w:t>
            </w:r>
          </w:p>
        </w:tc>
        <w:tc>
          <w:tcPr>
            <w:tcW w:type="dxa" w:w="720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별지 제11호의2서식 건설폐기물 처리업 변경신고서</w:t>
            </w:r>
          </w:p>
        </w:tc>
      </w:tr>
      <w:tr>
        <w:tc>
          <w:tcPr>
            <w:tcW w:type="dxa" w:w="18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첨부서류</w:t>
            </w:r>
          </w:p>
        </w:tc>
        <w:tc>
          <w:tcPr>
            <w:tcW w:type="dxa" w:w="720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허가증, 변경내용을 증명하는 서류</w:t>
            </w:r>
          </w:p>
        </w:tc>
      </w:tr>
      <w:tr>
        <w:tc>
          <w:tcPr>
            <w:tcW w:type="dxa" w:w="18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제출처</w:t>
            </w:r>
          </w:p>
        </w:tc>
        <w:tc>
          <w:tcPr>
            <w:tcW w:type="dxa" w:w="720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시·도지사</w:t>
            </w:r>
          </w:p>
        </w:tc>
      </w:tr>
      <w:tr>
        <w:tc>
          <w:tcPr>
            <w:tcW w:type="dxa" w:w="180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수리 통지</w:t>
            </w:r>
          </w:p>
        </w:tc>
        <w:tc>
          <w:tcPr>
            <w:tcW w:type="dxa" w:w="720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시·도지사는 신고를 받은 날부터 20일 이내에 수리 여부를 통지 (기간 내 통지가 없으면 그 다음 날에 수리한 것으로 봄)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  <w:color w:val="000000"/>
        </w:rPr>
        <w:t>3. 위반 시 벌칙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4140"/>
        <w:gridCol w:w="4860"/>
      </w:tblGrid>
      <w:tr>
        <w:trPr>
          <w:tblHeader w:val="true"/>
        </w:trPr>
        <w:tc>
          <w:tcPr>
            <w:tcW w:type="dxa" w:w="41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위반 행위</w:t>
            </w:r>
          </w:p>
        </w:tc>
        <w:tc>
          <w:tcPr>
            <w:tcW w:type="dxa" w:w="48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제재</w:t>
            </w:r>
          </w:p>
        </w:tc>
      </w:tr>
      <w:tr>
        <w:tc>
          <w:tcPr>
            <w:tcW w:type="dxa" w:w="414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변경신고를 하지 않고 신고사항을 변경</w:t>
            </w:r>
          </w:p>
        </w:tc>
        <w:tc>
          <w:tcPr>
            <w:tcW w:type="dxa" w:w="48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300만원 이하의 과태료 (법 제66조 제2항 제6호)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  <w:color w:val="000000"/>
        </w:rPr>
        <w:t>4. 원문</w:t>
      </w:r>
    </w:p>
    <w:p>
      <w:pPr>
        <w:pStyle w:val="cite1"/>
        <w:spacing w:after="40" w:before="200"/>
      </w:pPr>
      <w:r>
        <w:rPr>
          <w:rFonts w:ascii="맑은 고딕" w:hAnsi="맑은 고딕" w:eastAsia="맑은 고딕"/>
          <w:color w:val="000000"/>
        </w:rPr>
        <w:t>건설폐기물의 재활용촉진에 관한 법률 제22조 제2항~제4항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② 제21조 제3항에 따른 허가를 받은 자가 허가받은 사항 중 기후에너지환경부령으로 정하는 경미한 사항을 변경하는 경우에는 변경신고를 하여야 한다.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③ 시·도지사는 제2항에 따른 변경신고를 받은 날부터 20일 이내에 신고수리 여부를 신고인에게 통지하여야 한다.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④ 시·도지사가 제3항에서 정한 기간 내에 신고수리 여부 또는 처리기간의 연장을 통지하지 아니하면 그 기간이 끝난 날의 다음 날에 신고를 수리한 것으로 본다.</w:t>
      </w:r>
    </w:p>
    <w:p>
      <w:pPr>
        <w:pStyle w:val="cite1"/>
        <w:spacing w:after="40" w:before="200"/>
      </w:pPr>
      <w:r>
        <w:rPr>
          <w:rFonts w:ascii="맑은 고딕" w:hAnsi="맑은 고딕" w:eastAsia="맑은 고딕"/>
          <w:color w:val="000000"/>
        </w:rPr>
        <w:t>같은 법 시행규칙 제13조의2 (건설폐기물 처리업의 변경신고)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① 법 제22조 제2항에서 '기후에너지환경부령으로 정하는 경미한 사항'이란 다음 각 호와 같다.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1. 상호의 변경(권리·의무 승계로 변경되는 경우는 제외)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2. 대표자의 변경(권리·의무 승계로 변경되는 경우는 제외)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3. 연락장소 또는 사무실 소재지의 변경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4. 운반차량의 감차 또는 교체(임시차량 제외)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② 변경신고하려는 자는 제1호·제2호의 경우에는 그 사유가 발생한 날부터 30일 이내에, 제3호·제4호의 경우에는 변경 전에 각각 별지 제11호의2서식의 변경신고서에 허가증과 변경내용을 증명하는 서류를 첨부하여 시·도지사에게 제출해야 한다.</w:t>
      </w:r>
    </w:p>
    <w:p>
      <w:pPr>
        <w:pStyle w:val="src"/>
      </w:pPr>
      <w:r>
        <w:rPr>
          <w:rFonts w:ascii="맑은 고딕" w:hAnsi="맑은 고딕" w:eastAsia="맑은 고딕"/>
          <w:color w:val="000000"/>
        </w:rPr>
        <w:t>기준 법령: 건설폐기물의 재활용촉진에 관한 법률·같은 법 시행규칙 (국가법령정보센터, 시행규칙 2026.6.22 기준).</w:t>
      </w:r>
    </w:p>
    <w:p>
      <w:pPr>
        <w:pStyle w:val="mark"/>
      </w:pPr>
      <w:r>
        <w:rPr>
          <w:rFonts w:ascii="맑은 고딕" w:hAnsi="맑은 고딕" w:eastAsia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