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40"/>
      </w:pPr>
      <w:r>
        <w:rPr>
          <w:rFonts w:ascii="맑은 고딕" w:hAnsi="맑은 고딕" w:eastAsia="맑은 고딕"/>
          <w:b/>
          <w:color w:val="000000"/>
          <w:sz w:val="32"/>
        </w:rPr>
        <w:t>건설폐기물 처리업 변경허가 총정리</w:t>
      </w:r>
    </w:p>
    <w:p>
      <w:pPr>
        <w:pStyle w:val="law1"/>
      </w:pPr>
      <w:r>
        <w:rPr>
          <w:rFonts w:ascii="맑은 고딕" w:hAnsi="맑은 고딕" w:eastAsia="맑은 고딕"/>
          <w:color w:val="000000"/>
        </w:rPr>
        <w:t>건설폐기물의 재활용촉진에 관한 법률 제22조 제1항 · 시행규칙 제13조</w:t>
      </w:r>
    </w:p>
    <w:p>
      <w:pPr>
        <w:spacing w:after="200" w:line="348" w:lineRule="auto"/>
      </w:pPr>
      <w:r>
        <w:rPr>
          <w:rFonts w:ascii="맑은 고딕" w:hAnsi="맑은 고딕" w:eastAsia="맑은 고딕"/>
          <w:color w:val="000000"/>
          <w:sz w:val="20"/>
        </w:rPr>
        <w:t>건설폐기물 처리업 허가를 받은 자가 허가받은 사항 중 중요 사항을 변경하려면 변경허가를 받아야 합니다(법 제22조 제1항). 변경허가 대상 중요 사항과 신청 절차를 정리합니다.</w:t>
      </w:r>
    </w:p>
    <w:p>
      <w:pPr>
        <w:pStyle w:val="2"/>
      </w:pPr>
      <w:r>
        <w:rPr>
          <w:rFonts w:ascii="맑은 고딕" w:hAnsi="맑은 고딕" w:eastAsia="맑은 고딕"/>
          <w:color w:val="000000"/>
        </w:rPr>
        <w:t>1. 변경허가 대상 중요 사항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8"/>
        </w:rPr>
        <w:t>근거: 건설폐기물법 시행규칙 제13조 제1항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1080"/>
        <w:gridCol w:w="7920"/>
      </w:tblGrid>
      <w:tr>
        <w:trPr>
          <w:tblHeader w:val="true"/>
        </w:trPr>
        <w:tc>
          <w:tcPr>
            <w:tcW w:type="dxa" w:w="108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호</w:t>
            </w:r>
          </w:p>
        </w:tc>
        <w:tc>
          <w:tcPr>
            <w:tcW w:type="dxa" w:w="792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변경허가 대상 중요 사항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제1호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수집·운반 또는 중간처리 대상 건설폐기물의 변경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제2호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건설폐기물 처리시설 소재지의 변경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제3호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운반차량(폐기물관리법 시행규칙 별표5 제6호 임시차량은 제외)의 증차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제4호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건설폐기물 처리시설 또는 순환아스팔트콘크리트 생산시설의 신설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제5호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허가·변경허가 받은 처리용량의 30% 이상 변경 (변경 누계)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제6호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주요설비의 변경 (주1)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제7호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허용보관량의 변경</w:t>
            </w:r>
          </w:p>
        </w:tc>
      </w:tr>
      <w:tr>
        <w:tc>
          <w:tcPr>
            <w:tcW w:type="dxa" w:w="10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제8호</w:t>
            </w:r>
          </w:p>
        </w:tc>
        <w:tc>
          <w:tcPr>
            <w:tcW w:type="dxa" w:w="79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사업장 부지의 확장 또는 축소</w:t>
            </w:r>
          </w:p>
        </w:tc>
      </w:tr>
    </w:tbl>
    <w:p>
      <w:pPr>
        <w:spacing w:after="100"/>
      </w:pPr>
    </w:p>
    <w:p>
      <w:pPr>
        <w:pStyle w:val="note"/>
      </w:pPr>
      <w:r>
        <w:rPr>
          <w:rFonts w:ascii="맑은 고딕" w:hAnsi="맑은 고딕" w:eastAsia="맑은 고딕"/>
          <w:color w:val="000000"/>
        </w:rPr>
        <w:t>주1) 제6호 주요설비의 변경은 다음 어느 하나에 해당하는 경우만 변경허가 대상입니다. ① 건설폐기물 처리시설 또는 순환아스팔트콘크리트 생산시설의 구조변경으로 배출시설의 변경허가 또는 변경신고 대상이 되는 경우, ② 습식 파쇄·분쇄시설로 구조변경하는 경우.</w:t>
      </w:r>
    </w:p>
    <w:p>
      <w:pPr>
        <w:pStyle w:val="2"/>
      </w:pPr>
      <w:r>
        <w:rPr>
          <w:rFonts w:ascii="맑은 고딕" w:hAnsi="맑은 고딕" w:eastAsia="맑은 고딕"/>
          <w:color w:val="000000"/>
        </w:rPr>
        <w:t>2. 변경허가 절차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8"/>
        </w:rPr>
        <w:t>근거: 건설폐기물법 시행규칙 제13조 제2항~제6항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1980"/>
        <w:gridCol w:w="7020"/>
      </w:tblGrid>
      <w:tr>
        <w:trPr>
          <w:tblHeader w:val="true"/>
        </w:trPr>
        <w:tc>
          <w:tcPr>
            <w:tcW w:type="dxa" w:w="198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702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내용</w:t>
            </w:r>
          </w:p>
        </w:tc>
      </w:tr>
      <w:tr>
        <w:tc>
          <w:tcPr>
            <w:tcW w:type="dxa" w:w="19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① 변경계획서 제출</w:t>
            </w:r>
          </w:p>
        </w:tc>
        <w:tc>
          <w:tcPr>
            <w:tcW w:type="dxa" w:w="70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별지 제10호서식 건설폐기물 처리업 변경계획서에 허가증·변경내용 증명서류 등을 첨부하여 시·도지사에게 제출</w:t>
            </w:r>
          </w:p>
        </w:tc>
      </w:tr>
      <w:tr>
        <w:tc>
          <w:tcPr>
            <w:tcW w:type="dxa" w:w="19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② 적합 통보</w:t>
            </w:r>
          </w:p>
        </w:tc>
        <w:tc>
          <w:tcPr>
            <w:tcW w:type="dxa" w:w="70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시·도지사가 변경계획서를 검토하여 계획의 적절성을 통보</w:t>
            </w:r>
          </w:p>
        </w:tc>
      </w:tr>
      <w:tr>
        <w:tc>
          <w:tcPr>
            <w:tcW w:type="dxa" w:w="19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③ 변경허가 신청</w:t>
            </w:r>
          </w:p>
        </w:tc>
        <w:tc>
          <w:tcPr>
            <w:tcW w:type="dxa" w:w="70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적합통보를 받은 날부터 1년(수집·운반업은 6개월) 이내에 별지 제11호서식 변경허가신청서를 제출</w:t>
            </w:r>
          </w:p>
        </w:tc>
      </w:tr>
      <w:tr>
        <w:tc>
          <w:tcPr>
            <w:tcW w:type="dxa" w:w="19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④ 허가증 재교부</w:t>
            </w:r>
          </w:p>
        </w:tc>
        <w:tc>
          <w:tcPr>
            <w:tcW w:type="dxa" w:w="70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변경허가 후 변경된 사항을 기재하여 허가증 재교부</w:t>
            </w:r>
          </w:p>
        </w:tc>
      </w:tr>
    </w:tbl>
    <w:p>
      <w:pPr>
        <w:spacing w:after="100"/>
      </w:pPr>
    </w:p>
    <w:p>
      <w:pPr>
        <w:pStyle w:val="note"/>
      </w:pPr>
      <w:r>
        <w:rPr>
          <w:rFonts w:ascii="맑은 고딕" w:hAnsi="맑은 고딕" w:eastAsia="맑은 고딕"/>
          <w:color w:val="000000"/>
        </w:rPr>
        <w:t>※ 천재지변 등 부득이한 사유로 기간 내에 신청하지 못한 경우, 신청에 따라 기간을 연장할 수 있습니다(제13조 제5항).</w:t>
      </w:r>
    </w:p>
    <w:p>
      <w:pPr>
        <w:pStyle w:val="2"/>
      </w:pPr>
      <w:r>
        <w:rPr>
          <w:rFonts w:ascii="맑은 고딕" w:hAnsi="맑은 고딕" w:eastAsia="맑은 고딕"/>
          <w:color w:val="000000"/>
        </w:rPr>
        <w:t>3. 위반 시 벌칙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4140"/>
        <w:gridCol w:w="4860"/>
      </w:tblGrid>
      <w:tr>
        <w:trPr>
          <w:tblHeader w:val="true"/>
        </w:trPr>
        <w:tc>
          <w:tcPr>
            <w:tcW w:type="dxa" w:w="414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위반 행위</w:t>
            </w:r>
          </w:p>
        </w:tc>
        <w:tc>
          <w:tcPr>
            <w:tcW w:type="dxa" w:w="486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제재</w:t>
            </w:r>
          </w:p>
        </w:tc>
      </w:tr>
      <w:tr>
        <w:tc>
          <w:tcPr>
            <w:tcW w:type="dxa" w:w="414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변경허가를 받지 않고 중요 사항을 변경</w:t>
            </w:r>
          </w:p>
        </w:tc>
        <w:tc>
          <w:tcPr>
            <w:tcW w:type="dxa" w:w="48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3년 이하의 징역 또는 3천만원 이하의 벌금 (법 제63조 제4호)</w:t>
            </w:r>
          </w:p>
        </w:tc>
      </w:tr>
    </w:tbl>
    <w:p>
      <w:pPr>
        <w:spacing w:after="100"/>
      </w:pPr>
    </w:p>
    <w:p>
      <w:pPr>
        <w:pStyle w:val="2"/>
      </w:pPr>
      <w:r>
        <w:rPr>
          <w:rFonts w:ascii="맑은 고딕" w:hAnsi="맑은 고딕" w:eastAsia="맑은 고딕"/>
          <w:color w:val="000000"/>
        </w:rPr>
        <w:t>4. 원문</w:t>
      </w:r>
    </w:p>
    <w:p>
      <w:pPr>
        <w:pStyle w:val="cite1"/>
        <w:spacing w:after="40" w:before="200"/>
      </w:pPr>
      <w:r>
        <w:rPr>
          <w:rFonts w:ascii="맑은 고딕" w:hAnsi="맑은 고딕" w:eastAsia="맑은 고딕"/>
          <w:color w:val="000000"/>
        </w:rPr>
        <w:t>건설폐기물의 재활용촉진에 관한 법률 제22조 제1항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① 제21조 제3항에 따른 허가를 받은 자는 허가받은 사항 중 기후에너지환경부령으로 정하는 중요 사항을 변경하려면 변경허가를 받아야 한다.</w:t>
      </w:r>
    </w:p>
    <w:p>
      <w:pPr>
        <w:pStyle w:val="cite1"/>
        <w:spacing w:after="40" w:before="200"/>
      </w:pPr>
      <w:r>
        <w:rPr>
          <w:rFonts w:ascii="맑은 고딕" w:hAnsi="맑은 고딕" w:eastAsia="맑은 고딕"/>
          <w:color w:val="000000"/>
        </w:rPr>
        <w:t>같은 법 시행규칙 제13조 (건설폐기물 처리업의 변경허가)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① 법 제22조 제1항에서 '기후에너지환경부령으로 정하는 중요 사항'이란 다음 각 호를 말한다.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1. 수집·운반 또는 중간처리대상 건설폐기물의 변경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2. 건설폐기물 처리시설 소재지의 변경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3. 운반차량(임시차량 제외)의 증차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4. 건설폐기물 처리시설 또는 순환아스팔트콘크리트 생산시설의 신설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5. 처리용량의 30% 이상 변경(누계)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6. 주요설비의 변경(구조변경으로 배출시설 변경허가·변경신고 대상이 되는 경우, 습식 파쇄·분쇄시설로의 구조변경만 해당)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7. 허용보관량의 변경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8. 사업장 부지의 확장 또는 축소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② 변경허가를 받으려는 자는 별지 제10호서식의 변경계획서에 허가증, 변경내용을 증명하는 서류 등을 첨부하여 시·도지사에게 제출하여야 한다.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③ 시·도지사는 제출된 변경계획서를 검토하고 그 계획이 적절한지를 제출한 자에게 통보하여야 한다.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④ 적합통보를 받은 자는 그 날부터 1년(수집·운반업은 6개월) 이내에 별지 제11호서식의 변경허가신청서를 시·도지사에게 제출하여야 한다.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⑤ 시·도지사는 천재·지변 그 밖의 부득이한 사유로 기간 내에 변경허가 신청을 하지 못한 자에 대하여는 신청에 따라 그 기간을 연장할 수 있다.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⑥ 시·도지사는 변경허가를 한 때에는 변경된 사항을 기재하여 허가증을 재교부하여야 한다.</w:t>
      </w:r>
    </w:p>
    <w:p>
      <w:pPr>
        <w:pStyle w:val="src"/>
      </w:pPr>
      <w:r>
        <w:rPr>
          <w:rFonts w:ascii="맑은 고딕" w:hAnsi="맑은 고딕" w:eastAsia="맑은 고딕"/>
          <w:color w:val="000000"/>
        </w:rPr>
        <w:t>기준 법령: 건설폐기물의 재활용촉진에 관한 법률·같은 법 시행규칙 (국가법령정보센터, 시행규칙 2026.6.22 기준).</w:t>
      </w:r>
    </w:p>
    <w:p>
      <w:pPr>
        <w:pStyle w:val="mark"/>
      </w:pPr>
      <w:r>
        <w:rPr>
          <w:rFonts w:ascii="맑은 고딕" w:hAnsi="맑은 고딕" w:eastAsia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