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40"/>
      </w:pPr>
      <w:r>
        <w:rPr>
          <w:rFonts w:ascii="맑은 고딕" w:hAnsi="맑은 고딕" w:eastAsia="맑은 고딕"/>
          <w:b/>
          <w:color w:val="000000"/>
          <w:sz w:val="32"/>
        </w:rPr>
        <w:t>폐기물처리업 변경신고 총정리</w:t>
      </w:r>
    </w:p>
    <w:p>
      <w:pPr>
        <w:pStyle w:val="law1"/>
      </w:pPr>
      <w:r>
        <w:rPr>
          <w:rFonts w:ascii="맑은 고딕" w:hAnsi="맑은 고딕" w:eastAsia="맑은 고딕"/>
          <w:color w:val="000000"/>
        </w:rPr>
        <w:t>폐기물관리법 제25조 제11항 · 시행규칙 제33조</w:t>
      </w:r>
    </w:p>
    <w:p>
      <w:pPr>
        <w:spacing w:after="200" w:line="348" w:lineRule="auto"/>
      </w:pPr>
      <w:r>
        <w:rPr>
          <w:rFonts w:ascii="맑은 고딕" w:hAnsi="맑은 고딕" w:eastAsia="맑은 고딕"/>
          <w:color w:val="000000"/>
          <w:sz w:val="20"/>
        </w:rPr>
        <w:t>폐기물처리업 허가를 받은 자가 허가받은 사항을 변경할 때, 중요사항이면 변경허가를 받아야 하고 그 밖에 정해진 사항이면 변경신고를 해야 합니다(폐기물관리법 제25조 제11항). 이 글에서는 변경신고 대상 사항과 신고 시기를 정리합니다.</w:t>
      </w:r>
    </w:p>
    <w:p>
      <w:pPr>
        <w:pStyle w:val="2"/>
      </w:pPr>
      <w:r>
        <w:rPr>
          <w:rFonts w:ascii="맑은 고딕" w:hAnsi="맑은 고딕" w:eastAsia="맑은 고딕"/>
          <w:color w:val="000000"/>
        </w:rPr>
        <w:t>1. 변경신고 대상 사항</w:t>
      </w:r>
    </w:p>
    <w:p>
      <w:pPr>
        <w:spacing w:after="80"/>
      </w:pPr>
      <w:r>
        <w:rPr>
          <w:rFonts w:ascii="맑은 고딕" w:hAnsi="맑은 고딕" w:eastAsia="맑은 고딕"/>
          <w:color w:val="000000"/>
          <w:sz w:val="18"/>
        </w:rPr>
        <w:t>근거: 폐기물관리법 시행규칙 제33조 제1항·제2항</w:t>
      </w:r>
    </w:p>
    <w:tbl>
      <w:tblPr>
        <w:tblW w:w="5000" w:type="pct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900"/>
        <w:gridCol w:w="5940"/>
        <w:gridCol w:w="2160"/>
      </w:tblGrid>
      <w:tr>
        <w:trPr>
          <w:tblHeader w:val="true"/>
        </w:trPr>
        <w:tc>
          <w:tcPr>
            <w:tcW w:type="dxa" w:w="90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호</w:t>
            </w:r>
          </w:p>
        </w:tc>
        <w:tc>
          <w:tcPr>
            <w:tcW w:type="dxa" w:w="594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변경신고 사항</w:t>
            </w:r>
          </w:p>
        </w:tc>
        <w:tc>
          <w:tcPr>
            <w:tcW w:type="dxa" w:w="216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신고 시기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제1호</w:t>
            </w:r>
          </w:p>
        </w:tc>
        <w:tc>
          <w:tcPr>
            <w:tcW w:type="dxa" w:w="59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상호의 변경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사유 발생일부터 30일 이내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제2호</w:t>
            </w:r>
          </w:p>
        </w:tc>
        <w:tc>
          <w:tcPr>
            <w:tcW w:type="dxa" w:w="59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대표자의 변경 (권리·의무 승계에 따른 경우는 제외)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사유 발생일부터 30일 이내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제3호</w:t>
            </w:r>
          </w:p>
        </w:tc>
        <w:tc>
          <w:tcPr>
            <w:tcW w:type="dxa" w:w="59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연락장소나 사무실 소재지의 변경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 전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제4호</w:t>
            </w:r>
          </w:p>
        </w:tc>
        <w:tc>
          <w:tcPr>
            <w:tcW w:type="dxa" w:w="59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임시차량의 증차 또는 운반차량의 감차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 전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제5호</w:t>
            </w:r>
          </w:p>
        </w:tc>
        <w:tc>
          <w:tcPr>
            <w:tcW w:type="dxa" w:w="59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재활용 대상 부지의 변경 (별표4의2 제4호 재활용 유형으로 재활용하는 경우만 해당)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 전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제6호</w:t>
            </w:r>
          </w:p>
        </w:tc>
        <w:tc>
          <w:tcPr>
            <w:tcW w:type="dxa" w:w="59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재활용 대상 폐기물의 변경 (재활용 세부 유형은 그대로 두고 폐기물을 추가하는 경우만 해당)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 전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제7호</w:t>
            </w:r>
          </w:p>
        </w:tc>
        <w:tc>
          <w:tcPr>
            <w:tcW w:type="dxa" w:w="59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폐기물 재활용 유형의 변경 (재활용시설이나 그 소재지가 변경되지 않는 경우만 해당)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 전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제8호</w:t>
            </w:r>
          </w:p>
        </w:tc>
        <w:tc>
          <w:tcPr>
            <w:tcW w:type="dxa" w:w="59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매립시설 침출수 처리방법의 변경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변경 전</w:t>
            </w:r>
          </w:p>
        </w:tc>
      </w:tr>
      <w:tr>
        <w:tc>
          <w:tcPr>
            <w:tcW w:type="dxa" w:w="90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제9호</w:t>
            </w:r>
          </w:p>
        </w:tc>
        <w:tc>
          <w:tcPr>
            <w:tcW w:type="dxa" w:w="594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별표7에 따른 기술능력의 변경</w:t>
            </w:r>
          </w:p>
        </w:tc>
        <w:tc>
          <w:tcPr>
            <w:tcW w:type="dxa" w:w="216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사유 발생일부터 30일 이내</w:t>
            </w:r>
          </w:p>
        </w:tc>
      </w:tr>
    </w:tbl>
    <w:p>
      <w:pPr>
        <w:spacing w:after="100"/>
      </w:pPr>
    </w:p>
    <w:p>
      <w:pPr>
        <w:pStyle w:val="note"/>
      </w:pPr>
      <w:r>
        <w:rPr>
          <w:rFonts w:ascii="맑은 고딕" w:hAnsi="맑은 고딕" w:eastAsia="맑은 고딕"/>
          <w:color w:val="000000"/>
        </w:rPr>
        <w:t>※ 제1호·제2호·제9호(상호·대표자·기술능력)는 사유 발생 후 30일 이내에 신고하고, 제3호부터 제8호까지는 변경하기 전에 미리 신고합니다.</w:t>
      </w:r>
    </w:p>
    <w:p>
      <w:pPr>
        <w:pStyle w:val="2"/>
      </w:pPr>
      <w:r>
        <w:rPr>
          <w:rFonts w:ascii="맑은 고딕" w:hAnsi="맑은 고딕" w:eastAsia="맑은 고딕"/>
          <w:color w:val="000000"/>
        </w:rPr>
        <w:t>2. 신고 방법</w:t>
      </w:r>
    </w:p>
    <w:tbl>
      <w:tblPr>
        <w:tblW w:w="5000" w:type="pct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1620"/>
        <w:gridCol w:w="7380"/>
      </w:tblGrid>
      <w:tr>
        <w:trPr>
          <w:tblHeader w:val="true"/>
        </w:trPr>
        <w:tc>
          <w:tcPr>
            <w:tcW w:type="dxa" w:w="162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구분</w:t>
            </w:r>
          </w:p>
        </w:tc>
        <w:tc>
          <w:tcPr>
            <w:tcW w:type="dxa" w:w="738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내용</w:t>
            </w:r>
          </w:p>
        </w:tc>
      </w:tr>
      <w:tr>
        <w:tc>
          <w:tcPr>
            <w:tcW w:type="dxa" w:w="162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신고서</w:t>
            </w:r>
          </w:p>
        </w:tc>
        <w:tc>
          <w:tcPr>
            <w:tcW w:type="dxa" w:w="738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별지 제21호서식 폐기물처리업 변경신고서</w:t>
            </w:r>
          </w:p>
        </w:tc>
      </w:tr>
      <w:tr>
        <w:tc>
          <w:tcPr>
            <w:tcW w:type="dxa" w:w="162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첨부서류</w:t>
            </w:r>
          </w:p>
        </w:tc>
        <w:tc>
          <w:tcPr>
            <w:tcW w:type="dxa" w:w="738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허가증, 변경내용을 확인할 수 있는 서류 (운반차량을 감차하는 경우는 제외)</w:t>
            </w:r>
          </w:p>
        </w:tc>
      </w:tr>
      <w:tr>
        <w:tc>
          <w:tcPr>
            <w:tcW w:type="dxa" w:w="162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제출처</w:t>
            </w:r>
          </w:p>
        </w:tc>
        <w:tc>
          <w:tcPr>
            <w:tcW w:type="dxa" w:w="738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시·도지사 또는 지방환경관서의 장</w:t>
            </w:r>
          </w:p>
        </w:tc>
      </w:tr>
    </w:tbl>
    <w:p>
      <w:pPr>
        <w:spacing w:after="100"/>
      </w:pPr>
    </w:p>
    <w:p>
      <w:pPr>
        <w:pStyle w:val="2"/>
      </w:pPr>
      <w:r>
        <w:rPr>
          <w:rFonts w:ascii="맑은 고딕" w:hAnsi="맑은 고딕" w:eastAsia="맑은 고딕"/>
          <w:color w:val="000000"/>
        </w:rPr>
        <w:t>3. 참고 - 변경허가 대상 (시행규칙 제29조)</w:t>
      </w:r>
    </w:p>
    <w:p>
      <w:pPr>
        <w:spacing w:after="80"/>
      </w:pPr>
      <w:r>
        <w:rPr>
          <w:rFonts w:ascii="맑은 고딕" w:hAnsi="맑은 고딕" w:eastAsia="맑은 고딕"/>
          <w:color w:val="000000"/>
          <w:sz w:val="19"/>
        </w:rPr>
        <w:t>아래 중요사항은 변경신고가 아니라 변경허가 대상입니다. 자세한 내용은 변경허가 정리 참고.</w:t>
      </w:r>
    </w:p>
    <w:tbl>
      <w:tblPr>
        <w:tblW w:w="5000" w:type="pct"/>
        <w:tblCellMar>
          <w:top w:w="50" w:type="dxa"/>
          <w:left w:w="100" w:type="dxa"/>
          <w:bottom w:w="50" w:type="dxa"/>
          <w:right w:w="100" w:type="dxa"/>
        </w:tblCellMar>
        <w:tblBorders>
          <w:top w:val="single" w:sz="14" w:space="0" w:color="000000"/>
          <w:left w:val="single" w:sz="14" w:space="0" w:color="000000"/>
          <w:bottom w:val="single" w:sz="14" w:space="0" w:color="000000"/>
          <w:right w:val="single" w:sz="14" w:space="0" w:color="000000"/>
          <w:insideH w:val="single" w:sz="4" w:space="0" w:color="B7B7B7"/>
          <w:insideV w:val="single" w:sz="4" w:space="0" w:color="B7B7B7"/>
        </w:tblBorders>
        <w:tblLook w:val="04A0" w:firstRow="1" w:lastRow="0" w:firstColumn="0" w:lastColumn="0" w:noHBand="0" w:noVBand="1"/>
      </w:tblPr>
      <w:tblGrid>
        <w:gridCol w:w="1980"/>
        <w:gridCol w:w="7020"/>
      </w:tblGrid>
      <w:tr>
        <w:trPr>
          <w:tblHeader w:val="true"/>
        </w:trPr>
        <w:tc>
          <w:tcPr>
            <w:tcW w:type="dxa" w:w="198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업종</w:t>
            </w:r>
          </w:p>
        </w:tc>
        <w:tc>
          <w:tcPr>
            <w:tcW w:type="dxa" w:w="7020"/>
            <w:vAlign w:val="center"/>
            <w:shd w:val="clear" w:color="auto" w:fill="D9D9D9"/>
            <w:tcBorders>
              <w:bottom w:val="double" w:sz="6" w:space="0" w:color="000000"/>
            </w:tcBorders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변경허가 대상 중요사항</w:t>
            </w:r>
          </w:p>
        </w:tc>
      </w:tr>
      <w:tr>
        <w:tc>
          <w:tcPr>
            <w:tcW w:type="dxa" w:w="19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수집·운반업</w:t>
            </w:r>
          </w:p>
        </w:tc>
        <w:tc>
          <w:tcPr>
            <w:tcW w:type="dxa" w:w="70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수집·운반 대상 폐기물의 변경, 영업구역의 변경, 주차장 소재지의 변경(지정폐기물 수집·운반업만), 운반차량(임시차량 제외) 증차</w:t>
            </w:r>
          </w:p>
        </w:tc>
      </w:tr>
      <w:tr>
        <w:tc>
          <w:tcPr>
            <w:tcW w:type="dxa" w:w="19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중간·최종·종합처분업</w:t>
            </w:r>
          </w:p>
        </w:tc>
        <w:tc>
          <w:tcPr>
            <w:tcW w:type="dxa" w:w="70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처분대상 폐기물의 변경, 처분시설 소재지의 변경, 운반차량 증차, 처분시설의 신설, 처분용량의 30% 이상 변경, 주요 설비의 변경, 매립시설 제방의 증·개축, 허용보관량의 변경</w:t>
            </w:r>
          </w:p>
        </w:tc>
      </w:tr>
      <w:tr>
        <w:tc>
          <w:tcPr>
            <w:tcW w:type="dxa" w:w="1980"/>
            <w:vAlign w:val="center"/>
            <w:shd w:val="clear" w:color="auto" w:fill="F2F2F2"/>
          </w:tcPr>
          <w:p>
            <w:pPr>
              <w:spacing w:before="30" w:after="30" w:line="283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중간·최종·종합재활용업</w:t>
            </w:r>
          </w:p>
        </w:tc>
        <w:tc>
          <w:tcPr>
            <w:tcW w:type="dxa" w:w="7020"/>
            <w:vAlign w:val="center"/>
          </w:tcPr>
          <w:p>
            <w:pPr>
              <w:spacing w:before="30" w:after="30" w:line="283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재활용대상 폐기물의 변경, 재활용 유형의 변경, 재활용시설 소재지의 변경, 운반차량 증차, 재활용시설의 신설, 재활용 용량의 30%(금속 회수는 50%) 이상 변경, 주요 설비의 변경, 허용보관량의 변경</w:t>
            </w:r>
          </w:p>
        </w:tc>
      </w:tr>
    </w:tbl>
    <w:p>
      <w:pPr>
        <w:spacing w:after="100"/>
      </w:pPr>
    </w:p>
    <w:p>
      <w:pPr>
        <w:pStyle w:val="2"/>
      </w:pPr>
      <w:r>
        <w:rPr>
          <w:rFonts w:ascii="맑은 고딕" w:hAnsi="맑은 고딕" w:eastAsia="맑은 고딕"/>
          <w:color w:val="000000"/>
        </w:rPr>
        <w:t>4. 원문</w:t>
      </w:r>
    </w:p>
    <w:p>
      <w:pPr>
        <w:pStyle w:val="cite1"/>
        <w:spacing w:after="40" w:before="200"/>
      </w:pPr>
      <w:r>
        <w:rPr>
          <w:rFonts w:ascii="맑은 고딕" w:hAnsi="맑은 고딕" w:eastAsia="맑은 고딕"/>
          <w:color w:val="000000"/>
        </w:rPr>
        <w:t>폐기물관리법 제25조 제11항</w:t>
      </w:r>
    </w:p>
    <w:p>
      <w:pPr>
        <w:spacing w:after="120" w:line="348" w:lineRule="auto"/>
      </w:pPr>
      <w:r>
        <w:rPr>
          <w:rFonts w:ascii="맑은 고딕" w:hAnsi="맑은 고딕" w:eastAsia="맑은 고딕"/>
          <w:color w:val="000000"/>
          <w:sz w:val="18"/>
        </w:rPr>
        <w:t>제3항에 따라 허가를 받은 자가 기후에너지환경부령으로 정하는 중요사항을 변경하려면 변경허가를 받아야 하고, 그 밖의 사항 중 기후에너지환경부령으로 정하는 사항을 변경하려면 변경신고를 하여야 한다.</w:t>
      </w:r>
    </w:p>
    <w:p>
      <w:pPr>
        <w:pStyle w:val="cite1"/>
        <w:spacing w:after="40" w:before="200"/>
      </w:pPr>
      <w:r>
        <w:rPr>
          <w:rFonts w:ascii="맑은 고딕" w:hAnsi="맑은 고딕" w:eastAsia="맑은 고딕"/>
          <w:color w:val="000000"/>
        </w:rPr>
        <w:t>폐기물관리법 시행규칙 제33조 (폐기물처리업의 변경신고)</w:t>
      </w:r>
    </w:p>
    <w:p>
      <w:pPr>
        <w:spacing w:after="120" w:line="348" w:lineRule="auto"/>
      </w:pPr>
      <w:r>
        <w:rPr>
          <w:rFonts w:ascii="맑은 고딕" w:hAnsi="맑은 고딕" w:eastAsia="맑은 고딕"/>
          <w:color w:val="000000"/>
          <w:sz w:val="18"/>
        </w:rPr>
        <w:t>① 법 제25조 제11항에 따라 폐기물처리업의 변경신고를 하여야 할 사항은 다음 각 호와 같다.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1. 상호의 변경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2. 대표자의 변경(법 제33조에 따라 권리·의무를 승계하는 경우는 제외)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3. 연락장소나 사무실 소재지의 변경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4. 임시차량의 증차 또는 운반차량의 감차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5. 재활용 대상 부지의 변경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6. 재활용 대상 폐기물의 변경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7. 폐기물 재활용 유형의 변경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8. 매립시설 침출수 처리방법의 변경</w:t>
      </w:r>
      <w:r>
        <w:br/>
      </w:r>
      <w:r>
        <w:rPr>
          <w:rFonts w:ascii="맑은 고딕" w:hAnsi="맑은 고딕" w:eastAsia="맑은 고딕"/>
          <w:color w:val="000000"/>
          <w:sz w:val="18"/>
        </w:rPr>
        <w:t>9. 별표7에 따른 기술능력의 변경</w:t>
      </w:r>
    </w:p>
    <w:p>
      <w:pPr>
        <w:spacing w:after="120" w:line="348" w:lineRule="auto"/>
      </w:pPr>
      <w:r>
        <w:rPr>
          <w:rFonts w:ascii="맑은 고딕" w:hAnsi="맑은 고딕" w:eastAsia="맑은 고딕"/>
          <w:color w:val="000000"/>
          <w:sz w:val="18"/>
        </w:rPr>
        <w:t>② 변경신고를 하려는 자는 제1항 제1호·제2호 및 제9호의 경우에는 그 사유가 발생한 날부터 30일 이내에, 제3호부터 제8호까지의 경우에는 변경 전에 각각 별지 제21호서식의 폐기물처리업 변경신고서에 허가증과 변경내용을 확인할 수 있는 서류(운반차량을 감차하는 경우는 제외)를 첨부하여 시·도지사나 지방환경관서의 장에게 제출해야 한다.</w:t>
      </w:r>
    </w:p>
    <w:p>
      <w:pPr>
        <w:pStyle w:val="src"/>
      </w:pPr>
      <w:r>
        <w:rPr>
          <w:rFonts w:ascii="맑은 고딕" w:hAnsi="맑은 고딕" w:eastAsia="맑은 고딕"/>
          <w:color w:val="000000"/>
        </w:rPr>
        <w:t>기준 법령: 폐기물관리법·같은 법 시행규칙 (국가법령정보센터, 시행규칙 2026.6.22 기준).</w:t>
      </w:r>
    </w:p>
    <w:p>
      <w:pPr>
        <w:pStyle w:val="mark"/>
      </w:pPr>
      <w:r>
        <w:rPr>
          <w:rFonts w:ascii="맑은 고딕" w:hAnsi="맑은 고딕" w:eastAsia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