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 중간재활용업자가 다른 업체에 폐기물 운반을 맡긴 것이 변경허가 대상인 ‘운반차량의 증차’에 해당하는지가 문제된 형사사건입니다. 대법원은 운반을 위탁한 경우 위탁자에게 변경허가 의무가 없다고 보았습니다.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 (폐기물관리법위반)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/>
    <w:p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/>
    <w:p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형벌법규 해석은 엄격해야 하며, 문언의 가능한 의미를 벗어나 피고인에게 불리하게 확장해석할 수 없습니다.</w:t>
      </w:r>
    </w:p>
    <w:p/>
    <w:p>
      <w:r>
        <w:rPr>
          <w:rFonts w:ascii="맑은 고딕" w:hAnsi="맑은 고딕" w:eastAsia="맑은 고딕" w:cs="맑은 고딕"/>
          <w:color w:val="000000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관련 법령·판례</w:t>
      </w:r>
    </w:p>
    <w:p>
      <w:r>
        <w:rPr>
          <w:rFonts w:ascii="맑은 고딕" w:hAnsi="맑은 고딕" w:eastAsia="맑은 고딕" w:cs="맑은 고딕"/>
          <w:color w:val="000000"/>
        </w:rPr>
        <w:t>폐기물관리법 제25조 제3항·제5항·제6항·제11항 · 제64조 제5호 · 제65조 제14호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시행규칙 제28조 제6항 [별표 7] · 제29조 제1항 제3호 (라)목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형법 제1조 제1항(죄형법정주의)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