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2"/>
        </w:rPr>
        <w:t>폐기물처리사업계획서 반려, 행정청 재량은 어디까지일까요?</w:t>
      </w:r>
    </w:p>
    <w:p>
      <w:pPr>
        <w:pStyle w:val="law1"/>
        <w:spacing w:after="160"/>
      </w:pPr>
      <w:r>
        <w:rPr>
          <w:rFonts w:ascii="맑은 고딕" w:hAnsi="맑은 고딕" w:eastAsia="맑은 고딕" w:cs="맑은 고딕"/>
          <w:color w:val="000000"/>
        </w:rPr>
        <w:t>대법원 2023두35661 (2023. 7. 27. 선고) · 폐기물처리사업계획신청반려처분취소</w:t>
      </w:r>
    </w:p>
    <w:p>
      <w:pPr>
        <w:spacing w:after="120"/>
      </w:pPr>
      <w:r>
        <w:rPr>
          <w:rFonts w:ascii="맑은 고딕" w:hAnsi="맑은 고딕" w:eastAsia="맑은 고딕" w:cs="맑은 고딕"/>
          <w:color w:val="000000"/>
        </w:rPr>
        <w:t>행정청이 폐기물처리사업계획서를 반려·부적합 통보할 때의 재량 범위와, 그 취소소송에서의 심리·증명책임이 문제된 사건입니다. 대법원은 적합 여부 판단에 행정청의 광범위한 재량을 인정했습니다.</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100"/>
            <w:shd w:val="clear" w:color="auto" w:fill="F2F2F2"/>
          </w:tcPr>
          <w:p>
            <w:r/>
            <w:r>
              <w:rPr>
                <w:rFonts w:ascii="맑은 고딕" w:hAnsi="맑은 고딕" w:eastAsia="맑은 고딕" w:cs="맑은 고딕"/>
                <w:b/>
                <w:color w:val="000000"/>
                <w:sz w:val="19"/>
              </w:rPr>
              <w:t>사건번호</w:t>
            </w:r>
          </w:p>
        </w:tc>
        <w:tc>
          <w:tcPr>
            <w:tcW w:type="pct" w:w="3900"/>
          </w:tcPr>
          <w:p>
            <w:r/>
            <w:r>
              <w:rPr>
                <w:rFonts w:ascii="맑은 고딕" w:hAnsi="맑은 고딕" w:eastAsia="맑은 고딕" w:cs="맑은 고딕"/>
                <w:b w:val="0"/>
                <w:color w:val="000000"/>
                <w:sz w:val="19"/>
              </w:rPr>
              <w:t>2023두35661</w:t>
            </w:r>
          </w:p>
        </w:tc>
      </w:tr>
      <w:tr>
        <w:tc>
          <w:tcPr>
            <w:tcW w:type="pct" w:w="1100"/>
            <w:shd w:val="clear" w:color="auto" w:fill="F2F2F2"/>
          </w:tcPr>
          <w:p>
            <w:r/>
            <w:r>
              <w:rPr>
                <w:rFonts w:ascii="맑은 고딕" w:hAnsi="맑은 고딕" w:eastAsia="맑은 고딕" w:cs="맑은 고딕"/>
                <w:b/>
                <w:color w:val="000000"/>
                <w:sz w:val="19"/>
              </w:rPr>
              <w:t>선고일·법원</w:t>
            </w:r>
          </w:p>
        </w:tc>
        <w:tc>
          <w:tcPr>
            <w:tcW w:type="pct" w:w="3900"/>
          </w:tcPr>
          <w:p>
            <w:r/>
            <w:r>
              <w:rPr>
                <w:rFonts w:ascii="맑은 고딕" w:hAnsi="맑은 고딕" w:eastAsia="맑은 고딕" w:cs="맑은 고딕"/>
                <w:b w:val="0"/>
                <w:color w:val="000000"/>
                <w:sz w:val="19"/>
              </w:rPr>
              <w:t>2023. 7. 27. · 대법원</w:t>
            </w:r>
          </w:p>
        </w:tc>
      </w:tr>
      <w:tr>
        <w:tc>
          <w:tcPr>
            <w:tcW w:type="pct" w:w="1100"/>
            <w:shd w:val="clear" w:color="auto" w:fill="F2F2F2"/>
          </w:tcPr>
          <w:p>
            <w:r/>
            <w:r>
              <w:rPr>
                <w:rFonts w:ascii="맑은 고딕" w:hAnsi="맑은 고딕" w:eastAsia="맑은 고딕" w:cs="맑은 고딕"/>
                <w:b/>
                <w:color w:val="000000"/>
                <w:sz w:val="19"/>
              </w:rPr>
              <w:t>사건종류</w:t>
            </w:r>
          </w:p>
        </w:tc>
        <w:tc>
          <w:tcPr>
            <w:tcW w:type="pct" w:w="3900"/>
          </w:tcPr>
          <w:p>
            <w:r/>
            <w:r>
              <w:rPr>
                <w:rFonts w:ascii="맑은 고딕" w:hAnsi="맑은 고딕" w:eastAsia="맑은 고딕" w:cs="맑은 고딕"/>
                <w:b w:val="0"/>
                <w:color w:val="000000"/>
                <w:sz w:val="19"/>
              </w:rPr>
              <w:t>일반행정 (폐기물처리사업계획신청반려처분취소)</w:t>
            </w:r>
          </w:p>
        </w:tc>
      </w:tr>
      <w:tr>
        <w:tc>
          <w:tcPr>
            <w:tcW w:type="pct" w:w="1100"/>
            <w:shd w:val="clear" w:color="auto" w:fill="F2F2F2"/>
          </w:tcPr>
          <w:p>
            <w:r/>
            <w:r>
              <w:rPr>
                <w:rFonts w:ascii="맑은 고딕" w:hAnsi="맑은 고딕" w:eastAsia="맑은 고딕" w:cs="맑은 고딕"/>
                <w:b/>
                <w:color w:val="000000"/>
                <w:sz w:val="19"/>
              </w:rPr>
              <w:t>원심</w:t>
            </w:r>
          </w:p>
        </w:tc>
        <w:tc>
          <w:tcPr>
            <w:tcW w:type="pct" w:w="3900"/>
          </w:tcPr>
          <w:p>
            <w:r/>
            <w:r>
              <w:rPr>
                <w:rFonts w:ascii="맑은 고딕" w:hAnsi="맑은 고딕" w:eastAsia="맑은 고딕" w:cs="맑은 고딕"/>
                <w:b w:val="0"/>
                <w:color w:val="000000"/>
                <w:sz w:val="19"/>
              </w:rPr>
              <w:t>대구고법 2022누4128 (2023. 2. 3.)</w:t>
            </w:r>
          </w:p>
        </w:tc>
      </w:tr>
      <w:tr>
        <w:tc>
          <w:tcPr>
            <w:tcW w:type="pct" w:w="1100"/>
            <w:shd w:val="clear" w:color="auto" w:fill="F2F2F2"/>
          </w:tcPr>
          <w:p>
            <w:r/>
            <w:r>
              <w:rPr>
                <w:rFonts w:ascii="맑은 고딕" w:hAnsi="맑은 고딕" w:eastAsia="맑은 고딕" w:cs="맑은 고딕"/>
                <w:b/>
                <w:color w:val="000000"/>
                <w:sz w:val="19"/>
              </w:rPr>
              <w:t>결과</w:t>
            </w:r>
          </w:p>
        </w:tc>
        <w:tc>
          <w:tcPr>
            <w:tcW w:type="pct" w:w="3900"/>
          </w:tcPr>
          <w:p>
            <w:r/>
            <w:r>
              <w:rPr>
                <w:rFonts w:ascii="맑은 고딕" w:hAnsi="맑은 고딕" w:eastAsia="맑은 고딕" w:cs="맑은 고딕"/>
                <w:b w:val="0"/>
                <w:color w:val="000000"/>
                <w:sz w:val="19"/>
              </w:rPr>
              <w:t>원심 파기환송 (행정청에 유리)</w:t>
            </w:r>
          </w:p>
        </w:tc>
      </w:tr>
    </w:tbl>
    <w:p/>
    <w:p/>
    <w:p>
      <w:pPr>
        <w:pStyle w:val="2"/>
        <w:spacing w:before="80"/>
      </w:pPr>
      <w:r>
        <w:rPr>
          <w:rFonts w:ascii="맑은 고딕" w:hAnsi="맑은 고딕" w:eastAsia="맑은 고딕" w:cs="맑은 고딕"/>
          <w:color w:val="000000"/>
        </w:rPr>
        <w:t>2. 사실관계</w:t>
      </w:r>
    </w:p>
    <w:p>
      <w:r>
        <w:rPr>
          <w:rFonts w:ascii="맑은 고딕" w:hAnsi="맑은 고딕" w:eastAsia="맑은 고딕" w:cs="맑은 고딕"/>
          <w:color w:val="000000"/>
        </w:rPr>
        <w:t>(1) 원고가 폐합성수지를 선별·분쇄해 고형연료제품을 만드는 폐기물처리사업계획서를 제출하였습니다.</w:t>
      </w:r>
    </w:p>
    <w:p/>
    <w:p>
      <w:r>
        <w:rPr>
          <w:rFonts w:ascii="맑은 고딕" w:hAnsi="맑은 고딕" w:eastAsia="맑은 고딕" w:cs="맑은 고딕"/>
          <w:color w:val="000000"/>
        </w:rPr>
        <w:t>(2) 영천시장은 ‘인근 주민 동의서 미제출’만을 이유로 반려처분을 하였습니다.</w:t>
      </w:r>
    </w:p>
    <w:p/>
    <w:p>
      <w:r>
        <w:rPr>
          <w:rFonts w:ascii="맑은 고딕" w:hAnsi="맑은 고딕" w:eastAsia="맑은 고딕" w:cs="맑은 고딕"/>
          <w:color w:val="000000"/>
        </w:rPr>
        <w:t>(3) 소송 과정에서 행정청은 비산먼지·소음·진동·화재·교통 위험·환경오염 가중 등 주변 환경 영향을 구체적 사유로 제시하였습니다.</w:t>
      </w:r>
    </w:p>
    <w:p/>
    <w:p/>
    <w:p>
      <w:pPr>
        <w:pStyle w:val="2"/>
        <w:spacing w:before="80"/>
      </w:pPr>
      <w:r>
        <w:rPr>
          <w:rFonts w:ascii="맑은 고딕" w:hAnsi="맑은 고딕" w:eastAsia="맑은 고딕" w:cs="맑은 고딕"/>
          <w:color w:val="000000"/>
        </w:rPr>
        <w:t>3. 쟁점</w:t>
      </w:r>
    </w:p>
    <w:p>
      <w:r>
        <w:rPr>
          <w:rFonts w:ascii="맑은 고딕" w:hAnsi="맑은 고딕" w:eastAsia="맑은 고딕" w:cs="맑은 고딕"/>
          <w:color w:val="000000"/>
        </w:rPr>
        <w:t>폐기물처리사업계획서 적합 여부 판단에 행정청의 재량이 어디까지 인정되며, 반려처분 취소소송에서 누가 무엇을 증명해야 하는지가 쟁점입니다.</w:t>
      </w:r>
    </w:p>
    <w:p/>
    <w:p/>
    <w:p>
      <w:pPr>
        <w:pStyle w:val="2"/>
        <w:spacing w:before="80"/>
      </w:pPr>
      <w:r>
        <w:rPr>
          <w:rFonts w:ascii="맑은 고딕" w:hAnsi="맑은 고딕" w:eastAsia="맑은 고딕" w:cs="맑은 고딕"/>
          <w:color w:val="000000"/>
        </w:rPr>
        <w:t>4. 원심과 대법원의 판단</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100"/>
            <w:shd w:val="clear" w:color="auto" w:fill="D9D9D9"/>
            <w:tcBorders>
              <w:bottom w:val="double" w:sz="6" w:space="0" w:color="808080"/>
            </w:tcBorders>
          </w:tcPr>
          <w:p>
            <w:r/>
            <w:r>
              <w:rPr>
                <w:rFonts w:ascii="맑은 고딕" w:hAnsi="맑은 고딕" w:eastAsia="맑은 고딕" w:cs="맑은 고딕"/>
                <w:b/>
                <w:color w:val="000000"/>
                <w:sz w:val="19"/>
              </w:rPr>
              <w:t>구분</w:t>
            </w:r>
          </w:p>
        </w:tc>
        <w:tc>
          <w:tcPr>
            <w:tcW w:type="pct" w:w="3900"/>
            <w:shd w:val="clear" w:color="auto" w:fill="D9D9D9"/>
            <w:tcBorders>
              <w:bottom w:val="double" w:sz="6" w:space="0" w:color="808080"/>
            </w:tcBorders>
          </w:tcPr>
          <w:p>
            <w:r/>
            <w:r>
              <w:rPr>
                <w:rFonts w:ascii="맑은 고딕" w:hAnsi="맑은 고딕" w:eastAsia="맑은 고딕" w:cs="맑은 고딕"/>
                <w:b/>
                <w:color w:val="000000"/>
                <w:sz w:val="19"/>
              </w:rPr>
              <w:t>판단</w:t>
            </w:r>
          </w:p>
        </w:tc>
      </w:tr>
      <w:tr>
        <w:tc>
          <w:tcPr>
            <w:tcW w:type="pct" w:w="1100"/>
            <w:shd w:val="clear" w:color="auto" w:fill="F2F2F2"/>
          </w:tcPr>
          <w:p>
            <w:r/>
            <w:r>
              <w:rPr>
                <w:rFonts w:ascii="맑은 고딕" w:hAnsi="맑은 고딕" w:eastAsia="맑은 고딕" w:cs="맑은 고딕"/>
                <w:b/>
                <w:color w:val="000000"/>
                <w:sz w:val="19"/>
              </w:rPr>
              <w:t>원심</w:t>
            </w:r>
          </w:p>
        </w:tc>
        <w:tc>
          <w:tcPr>
            <w:tcW w:type="pct" w:w="3900"/>
          </w:tcPr>
          <w:p>
            <w:r/>
            <w:r>
              <w:rPr>
                <w:rFonts w:ascii="맑은 고딕" w:hAnsi="맑은 고딕" w:eastAsia="맑은 고딕" w:cs="맑은 고딕"/>
                <w:b w:val="0"/>
                <w:color w:val="000000"/>
                <w:sz w:val="19"/>
              </w:rPr>
              <w:t>행정청이 절차적 사유(주민동의서 미제출)만으로 반려한 것은 비례원칙에 어긋나 위법.</w:t>
            </w:r>
          </w:p>
        </w:tc>
      </w:tr>
      <w:tr>
        <w:tc>
          <w:tcPr>
            <w:tcW w:type="pct" w:w="1100"/>
            <w:shd w:val="clear" w:color="auto" w:fill="F2F2F2"/>
          </w:tcPr>
          <w:p>
            <w:r/>
            <w:r>
              <w:rPr>
                <w:rFonts w:ascii="맑은 고딕" w:hAnsi="맑은 고딕" w:eastAsia="맑은 고딕" w:cs="맑은 고딕"/>
                <w:b/>
                <w:color w:val="000000"/>
                <w:sz w:val="19"/>
              </w:rPr>
              <w:t>대법원</w:t>
            </w:r>
          </w:p>
        </w:tc>
        <w:tc>
          <w:tcPr>
            <w:tcW w:type="pct" w:w="3900"/>
          </w:tcPr>
          <w:p>
            <w:r/>
            <w:r>
              <w:rPr>
                <w:rFonts w:ascii="맑은 고딕" w:hAnsi="맑은 고딕" w:eastAsia="맑은 고딕" w:cs="맑은 고딕"/>
                <w:b w:val="0"/>
                <w:color w:val="000000"/>
                <w:sz w:val="19"/>
              </w:rPr>
              <w:t>적합 여부는 생활환경·자연환경 영향을 두루 검토하는 행정청의 광범위한 재량이고, 장래의 불확실한 상황 예측 판단은 폭넓게 존중된다. 재량 일탈·남용은 처분을 다투는 원고가 증명해야 하며, 처분서에 불확정개념만 간략히 적었더라도 소송에서 행정청이 구체적 사유를 제시하면 원고가 이를 반박할 자료를 내야 한다. 이를 심리하지 않고 위법으로 단정한 원심은 잘못 → 파기환송.</w:t>
            </w:r>
          </w:p>
        </w:tc>
      </w:tr>
    </w:tbl>
    <w:p/>
    <w:p/>
    <w:p>
      <w:pPr>
        <w:pStyle w:val="2"/>
        <w:spacing w:before="80"/>
      </w:pPr>
      <w:r>
        <w:rPr>
          <w:rFonts w:ascii="맑은 고딕" w:hAnsi="맑은 고딕" w:eastAsia="맑은 고딕" w:cs="맑은 고딕"/>
          <w:color w:val="000000"/>
        </w:rPr>
        <w:t>5. 판결 요지</w:t>
      </w:r>
    </w:p>
    <w:p>
      <w:r>
        <w:rPr>
          <w:rFonts w:ascii="맑은 고딕" w:hAnsi="맑은 고딕" w:eastAsia="맑은 고딕" w:cs="맑은 고딕"/>
          <w:color w:val="000000"/>
        </w:rPr>
        <w:t>① 폐기물처리사업계획서의 적합 여부는 생활환경과 자연환경에 미치는 영향을 두루 검토하는 것으로, 행정청에 광범위한 재량이 인정됩니다.</w:t>
      </w:r>
    </w:p>
    <w:p/>
    <w:p>
      <w:r>
        <w:rPr>
          <w:rFonts w:ascii="맑은 고딕" w:hAnsi="맑은 고딕" w:eastAsia="맑은 고딕" w:cs="맑은 고딕"/>
          <w:color w:val="000000"/>
        </w:rPr>
        <w:t>② 장래에 발생할 불확실한 상황과 파급효과에 대한 예측이 필요한 판단은 현저히 불합리하거나 형평·비례원칙에 뚜렷이 배치되지 않는 한 폭넓게 존중됩니다.</w:t>
      </w:r>
    </w:p>
    <w:p/>
    <w:p>
      <w:r>
        <w:rPr>
          <w:rFonts w:ascii="맑은 고딕" w:hAnsi="맑은 고딕" w:eastAsia="맑은 고딕" w:cs="맑은 고딕"/>
          <w:color w:val="000000"/>
        </w:rPr>
        <w:t>③ 재량권 일탈·남용은 처분의 효력을 다투는 자(원고)가 증명해야 하며, 처분서가 간략하면 행정청이 소송에서 구체적 사유를 밝히고 원고는 이를 반박할 자료를 제출해야 합니다.</w:t>
      </w:r>
    </w:p>
    <w:p/>
    <w:p/>
    <w:p>
      <w:pPr>
        <w:pStyle w:val="2"/>
        <w:spacing w:before="80"/>
      </w:pPr>
      <w:r>
        <w:rPr>
          <w:rFonts w:ascii="맑은 고딕" w:hAnsi="맑은 고딕" w:eastAsia="맑은 고딕" w:cs="맑은 고딕"/>
          <w:color w:val="000000"/>
        </w:rPr>
        <w:t>6. 참조 조문</w:t>
      </w:r>
    </w:p>
    <w:p>
      <w:pPr>
        <w:pStyle w:val="cite1"/>
      </w:pPr>
      <w:r>
        <w:rPr>
          <w:rFonts w:ascii="맑은 고딕" w:hAnsi="맑은 고딕" w:eastAsia="맑은 고딕" w:cs="맑은 고딕"/>
          <w:color w:val="000000"/>
        </w:rPr>
        <w:t>관련 법령·판례</w:t>
      </w:r>
    </w:p>
    <w:p>
      <w:r>
        <w:rPr>
          <w:rFonts w:ascii="맑은 고딕" w:hAnsi="맑은 고딕" w:eastAsia="맑은 고딕" w:cs="맑은 고딕"/>
          <w:color w:val="000000"/>
        </w:rPr>
        <w:t>폐기물관리법 제1조 · 제25조 제1항·제2항 제4호</w:t>
      </w:r>
      <w:r>
        <w:rPr>
          <w:rFonts w:ascii="맑은 고딕" w:hAnsi="맑은 고딕" w:eastAsia="맑은 고딕" w:cs="맑은 고딕"/>
          <w:color w:val="000000"/>
        </w:rPr>
        <w:br/>
      </w:r>
      <w:r>
        <w:rPr>
          <w:rFonts w:ascii="맑은 고딕" w:hAnsi="맑은 고딕" w:eastAsia="맑은 고딕" w:cs="맑은 고딕"/>
          <w:color w:val="000000"/>
        </w:rPr>
        <w:t>환경정책기본법 제12조 제1항 · 제13조</w:t>
      </w:r>
      <w:r>
        <w:rPr>
          <w:rFonts w:ascii="맑은 고딕" w:hAnsi="맑은 고딕" w:eastAsia="맑은 고딕" w:cs="맑은 고딕"/>
          <w:color w:val="000000"/>
        </w:rPr>
        <w:br/>
      </w:r>
      <w:r>
        <w:rPr>
          <w:rFonts w:ascii="맑은 고딕" w:hAnsi="맑은 고딕" w:eastAsia="맑은 고딕" w:cs="맑은 고딕"/>
          <w:color w:val="000000"/>
        </w:rPr>
        <w:t>행정소송법 제26조[증명책임] · 제27조</w:t>
      </w:r>
    </w:p>
    <w:p/>
    <w:p/>
    <w:p>
      <w:pPr>
        <w:pStyle w:val="2"/>
        <w:spacing w:before="200"/>
      </w:pPr>
      <w:r>
        <w:rPr>
          <w:rFonts w:ascii="맑은 고딕" w:hAnsi="맑은 고딕" w:eastAsia="맑은 고딕" w:cs="맑은 고딕"/>
          <w:color w:val="000000"/>
        </w:rPr>
        <w:t>적용 법령 조항·문구</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400"/>
            <w:shd w:val="clear" w:color="auto" w:fill="D9D9D9"/>
            <w:tcBorders>
              <w:bottom w:val="double" w:sz="6" w:space="0" w:color="808080"/>
            </w:tcBorders>
          </w:tcPr>
          <w:p>
            <w:r/>
            <w:r>
              <w:rPr>
                <w:rFonts w:ascii="맑은 고딕" w:hAnsi="맑은 고딕" w:eastAsia="맑은 고딕" w:cs="맑은 고딕"/>
                <w:b/>
                <w:color w:val="000000"/>
                <w:sz w:val="19"/>
              </w:rPr>
              <w:t>조항</w:t>
            </w:r>
          </w:p>
        </w:tc>
        <w:tc>
          <w:tcPr>
            <w:tcW w:type="pct" w:w="3600"/>
            <w:shd w:val="clear" w:color="auto" w:fill="D9D9D9"/>
            <w:tcBorders>
              <w:bottom w:val="double" w:sz="6" w:space="0" w:color="808080"/>
            </w:tcBorders>
          </w:tcPr>
          <w:p>
            <w:r/>
            <w:r>
              <w:rPr>
                <w:rFonts w:ascii="맑은 고딕" w:hAnsi="맑은 고딕" w:eastAsia="맑은 고딕" w:cs="맑은 고딕"/>
                <w:b/>
                <w:color w:val="000000"/>
                <w:sz w:val="19"/>
              </w:rPr>
              <w:t>적용 문구</w:t>
            </w:r>
          </w:p>
        </w:tc>
      </w:tr>
      <w:tr>
        <w:tc>
          <w:tcPr>
            <w:tcW w:type="pct" w:w="1400"/>
            <w:shd w:val="clear" w:color="auto" w:fill="F2F2F2"/>
          </w:tcPr>
          <w:p>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제1항</w:t>
            </w:r>
          </w:p>
        </w:tc>
        <w:tc>
          <w:tcPr>
            <w:tcW w:type="pct" w:w="3600"/>
          </w:tcPr>
          <w:p>
            <w:r/>
            <w:r>
              <w:rPr>
                <w:rFonts w:ascii="맑은 고딕" w:hAnsi="맑은 고딕" w:eastAsia="맑은 고딕" w:cs="맑은 고딕"/>
                <w:b w:val="0"/>
                <w:color w:val="000000"/>
                <w:sz w:val="19"/>
              </w:rPr>
              <w:t xml:space="preserve">지정폐기물이 아닌 폐기물의 수집·운반·재활용·처분을 업으로 하려는 자는 </w:t>
            </w:r>
            <w:r>
              <w:rPr>
                <w:rFonts w:ascii="맑은 고딕" w:hAnsi="맑은 고딕" w:eastAsia="맑은 고딕" w:cs="맑은 고딕"/>
                <w:b w:val="0"/>
                <w:color w:val="000000"/>
                <w:sz w:val="19"/>
                <w:u w:val="single"/>
              </w:rPr>
              <w:t>허가신청에 앞서 폐기물처리사업계획서를 시·도지사에게 제출</w:t>
            </w:r>
            <w:r>
              <w:rPr>
                <w:rFonts w:ascii="맑은 고딕" w:hAnsi="맑은 고딕" w:eastAsia="맑은 고딕" w:cs="맑은 고딕"/>
                <w:b w:val="0"/>
                <w:color w:val="000000"/>
                <w:sz w:val="19"/>
              </w:rPr>
              <w:t>하여야 한다.</w:t>
            </w:r>
          </w:p>
        </w:tc>
      </w:tr>
      <w:tr>
        <w:tc>
          <w:tcPr>
            <w:tcW w:type="pct" w:w="1400"/>
            <w:shd w:val="clear" w:color="auto" w:fill="F2F2F2"/>
          </w:tcPr>
          <w:p>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제2항 제4호</w:t>
            </w:r>
          </w:p>
        </w:tc>
        <w:tc>
          <w:tcPr>
            <w:tcW w:type="pct" w:w="3600"/>
          </w:tcPr>
          <w:p>
            <w:r/>
            <w:r>
              <w:rPr>
                <w:rFonts w:ascii="맑은 고딕" w:hAnsi="맑은 고딕" w:eastAsia="맑은 고딕" w:cs="맑은 고딕"/>
                <w:b w:val="0"/>
                <w:color w:val="000000"/>
                <w:sz w:val="19"/>
              </w:rPr>
              <w:t xml:space="preserve">시·도지사는 </w:t>
            </w:r>
            <w:r>
              <w:rPr>
                <w:rFonts w:ascii="맑은 고딕" w:hAnsi="맑은 고딕" w:eastAsia="맑은 고딕" w:cs="맑은 고딕"/>
                <w:b w:val="0"/>
                <w:color w:val="000000"/>
                <w:sz w:val="19"/>
                <w:u w:val="single"/>
              </w:rPr>
              <w:t>폐기물처리시설의 설치·운영으로 상수원보호구역 수질 악화, 환경정책기본법상 환경기준 유지 곤란 등 사람의 건강이나 주변 환경에 영향을 미치는지 여부</w:t>
            </w:r>
            <w:r>
              <w:rPr>
                <w:rFonts w:ascii="맑은 고딕" w:hAnsi="맑은 고딕" w:eastAsia="맑은 고딕" w:cs="맑은 고딕"/>
                <w:b w:val="0"/>
                <w:color w:val="000000"/>
                <w:sz w:val="19"/>
              </w:rPr>
              <w:t>를 심사한다.</w:t>
            </w:r>
          </w:p>
        </w:tc>
      </w:tr>
      <w:tr>
        <w:tc>
          <w:tcPr>
            <w:tcW w:type="pct" w:w="1400"/>
            <w:shd w:val="clear" w:color="auto" w:fill="F2F2F2"/>
          </w:tcPr>
          <w:p>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제12조·제13조</w:t>
            </w:r>
          </w:p>
        </w:tc>
        <w:tc>
          <w:tcPr>
            <w:tcW w:type="pct" w:w="3600"/>
          </w:tcPr>
          <w:p>
            <w:r/>
            <w:r>
              <w:rPr>
                <w:rFonts w:ascii="맑은 고딕" w:hAnsi="맑은 고딕" w:eastAsia="맑은 고딕" w:cs="맑은 고딕"/>
                <w:b w:val="0"/>
                <w:color w:val="000000"/>
                <w:sz w:val="19"/>
              </w:rPr>
              <w:t xml:space="preserve">환경기준의 설정·유지. 적합 여부 판단 시 </w:t>
            </w:r>
            <w:r>
              <w:rPr>
                <w:rFonts w:ascii="맑은 고딕" w:hAnsi="맑은 고딕" w:eastAsia="맑은 고딕" w:cs="맑은 고딕"/>
                <w:b w:val="0"/>
                <w:color w:val="000000"/>
                <w:sz w:val="19"/>
                <w:u w:val="single"/>
              </w:rPr>
              <w:t>환경기준도 고려</w:t>
            </w:r>
            <w:r>
              <w:rPr>
                <w:rFonts w:ascii="맑은 고딕" w:hAnsi="맑은 고딕" w:eastAsia="맑은 고딕" w:cs="맑은 고딕"/>
                <w:b w:val="0"/>
                <w:color w:val="000000"/>
                <w:sz w:val="19"/>
              </w:rPr>
              <w:t>하여야 한다(행정청의 광범위한 재량).</w:t>
            </w:r>
          </w:p>
        </w:tc>
      </w:tr>
      <w:tr>
        <w:tc>
          <w:tcPr>
            <w:tcW w:type="pct" w:w="1400"/>
            <w:shd w:val="clear" w:color="auto" w:fill="F2F2F2"/>
          </w:tcPr>
          <w:p>
            <w:r/>
            <w:r>
              <w:rPr>
                <w:rFonts w:ascii="맑은 고딕" w:hAnsi="맑은 고딕" w:eastAsia="맑은 고딕" w:cs="맑은 고딕"/>
                <w:b/>
                <w:color w:val="000000"/>
                <w:sz w:val="19"/>
              </w:rPr>
              <w:t>행정소송법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제26조·제27조</w:t>
            </w:r>
          </w:p>
        </w:tc>
        <w:tc>
          <w:tcPr>
            <w:tcW w:type="pct" w:w="3600"/>
          </w:tcPr>
          <w:p>
            <w:r/>
            <w:r>
              <w:rPr>
                <w:rFonts w:ascii="맑은 고딕" w:hAnsi="맑은 고딕" w:eastAsia="맑은 고딕" w:cs="맑은 고딕"/>
                <w:b w:val="0"/>
                <w:color w:val="000000"/>
                <w:sz w:val="19"/>
              </w:rPr>
              <w:t xml:space="preserve">재량행위 심사. </w:t>
            </w:r>
            <w:r>
              <w:rPr>
                <w:rFonts w:ascii="맑은 고딕" w:hAnsi="맑은 고딕" w:eastAsia="맑은 고딕" w:cs="맑은 고딕"/>
                <w:b w:val="0"/>
                <w:color w:val="000000"/>
                <w:sz w:val="19"/>
                <w:u w:val="single"/>
              </w:rPr>
              <w:t>재량권 일탈·남용은 그 처분의 효력을 다투는 자(원고)가 주장·증명</w:t>
            </w:r>
            <w:r>
              <w:rPr>
                <w:rFonts w:ascii="맑은 고딕" w:hAnsi="맑은 고딕" w:eastAsia="맑은 고딕" w:cs="맑은 고딕"/>
                <w:b w:val="0"/>
                <w:color w:val="000000"/>
                <w:sz w:val="19"/>
              </w:rPr>
              <w:t>하여야 한다.</w:t>
            </w:r>
          </w:p>
        </w:tc>
      </w:tr>
    </w:tbl>
    <w:p>
      <w:pPr>
        <w:pStyle w:val="note"/>
        <w:spacing w:before="80"/>
      </w:pPr>
      <w:r>
        <w:rPr>
          <w:rFonts w:ascii="맑은 고딕" w:hAnsi="맑은 고딕" w:eastAsia="맑은 고딕" w:cs="맑은 고딕"/>
          <w:color w:val="000000"/>
        </w:rPr>
        <w:t>※ 본 정리는 판결문을 요약한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#폐기물처리사업계획서 #적합여부 #반려처분 #부적합통보 #행정청재량 #재량권일탈남용 #폐기물처리업허가 #환경정책기본법 #대법원판례 #2023두35661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