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제2항에 관한 상고이유에 대하여 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 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w:t>
      </w:r>
      <w:r>
        <w:rPr>
          <w:rFonts w:ascii="맑은 고딕" w:hAnsi="맑은 고딕" w:eastAsia="맑은 고딕" w:cs="맑은 고딕"/>
          <w:color w:val="000000"/>
        </w:rPr>
        <w:br/>
      </w:r>
      <w:r>
        <w:rPr>
          <w:rFonts w:ascii="맑은 고딕" w:hAnsi="맑은 고딕" w:eastAsia="맑은 고딕" w:cs="맑은 고딕"/>
          <w:color w:val="000000"/>
        </w:rPr>
        <w:t>③ 다만,제4조 또는제5조의 규정에 의한 폐기물처리시설을 설치·운영하는 자에게 위탁하는 경우에는 그러하지 아니하다.”라고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t>⑤ 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⑥ 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t>⑦ 이 사건 공소사실 제3, 4항에 관한 상고이유에 대하여 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⑧ 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제30조의3 제1항</w:t>
            </w:r>
          </w:p>
        </w:tc>
        <w:tc>
          <w:tcPr>
            <w:tcW w:type="pct" w:w="3500"/>
          </w:tcPr>
          <w:p>
            <w:pPr>
              <w:autoSpaceDE w:val="0"/>
              <w:autoSpaceDN w:val="0"/>
            </w:pPr>
            <w:r/>
            <w:r>
              <w:rPr>
                <w:rFonts w:ascii="맑은 고딕" w:hAnsi="맑은 고딕" w:eastAsia="맑은 고딕" w:cs="맑은 고딕"/>
                <w:b w:val="0"/>
                <w:color w:val="000000"/>
                <w:sz w:val="19"/>
              </w:rPr>
              <w:t>①기후에너지환경부령으로 정하는 폐기물처리시설의 설치를 마친 자는 제30조의2제3항에 따른 폐기물처리시설 검사기관으로부터 검사를 받아야 한다. 제29조제3항에 따른 변경승인을 받거나 변경신고를 한 경우로서 기후에너지환경부령으로 정하는 경우에도 또한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[별표 8]</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수질환경보전법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[별표 5]</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 제14호</w:t>
            </w:r>
          </w:p>
        </w:tc>
        <w:tc>
          <w:tcPr>
            <w:tcW w:type="pct" w:w="3500"/>
          </w:tcPr>
          <w:p>
            <w:pPr>
              <w:autoSpaceDE w:val="0"/>
              <w:autoSpaceDN w:val="0"/>
            </w:pPr>
            <w:r/>
            <w:r>
              <w:rPr>
                <w:rFonts w:ascii="맑은 고딕" w:hAnsi="맑은 고딕" w:eastAsia="맑은 고딕" w:cs="맑은 고딕"/>
                <w:b w:val="0"/>
                <w:color w:val="000000"/>
                <w:sz w:val="19"/>
              </w:rPr>
              <w:t>기후에너지환경부장관 또는 시ㆍ도지사는 다음 각 호의 어느 하나에 해당하는 처분을 하려면 청문을 실시하여야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