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② 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t>③ 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사업장폐기물 불법 매립에 의한 폐기물관리법 위반죄의 포괄일죄 여부를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피고인 1에 대한 상고이유에 관하여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③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④ 형사재판이 실체적으로 확정되면 동일한 범죄에 대하여 거듭 처벌할 수 없고, 확정판결이 있는 사건과 동일사건에 대하여 공소의 제기가 있는 경우에는 판결로써 면소의 선고를 하여야 한다.</w:t>
      </w:r>
      <w:r>
        <w:rPr>
          <w:rFonts w:ascii="맑은 고딕" w:hAnsi="맑은 고딕" w:eastAsia="맑은 고딕" w:cs="맑은 고딕"/>
          <w:color w:val="000000"/>
        </w:rPr>
        <w:br/>
      </w:r>
      <w:r>
        <w:rPr>
          <w:rFonts w:ascii="맑은 고딕" w:hAnsi="맑은 고딕" w:eastAsia="맑은 고딕" w:cs="맑은 고딕"/>
          <w:color w:val="000000"/>
        </w:rPr>
        <w:t>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w:t>
      </w:r>
      <w:r>
        <w:rPr>
          <w:rFonts w:ascii="맑은 고딕" w:hAnsi="맑은 고딕" w:eastAsia="맑은 고딕" w:cs="맑은 고딕"/>
          <w:color w:val="000000"/>
        </w:rPr>
        <w:br/>
      </w:r>
      <w:r>
        <w:rPr>
          <w:rFonts w:ascii="맑은 고딕" w:hAnsi="맑은 고딕" w:eastAsia="맑은 고딕" w:cs="맑은 고딕"/>
          <w:color w:val="000000"/>
        </w:rPr>
        <w:t>⑥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t>⑦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