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‘기존 업체로 충분’을 이유로 한 생활폐기물 신규 허가 거부는 재량 남용입니다</w:t>
      </w:r>
    </w:p>
    <w:p>
      <w:pPr>
        <w:pStyle w:val="law1"/>
        <w:autoSpaceDE w:val="0"/>
        <w:autoSpaceDN w:val="0"/>
        <w:spacing w:after="160"/>
      </w:pPr>
      <w:r>
        <w:rPr>
          <w:rFonts w:ascii="맑은 고딕" w:hAnsi="맑은 고딕" w:eastAsia="맑은 고딕" w:cs="맑은 고딕"/>
          <w:color w:val="000000"/>
        </w:rPr>
        <w:t>대법원 2011두12283 (2011.11.10 선고)</w:t>
      </w:r>
    </w:p>
    <w:p>
      <w:pPr>
        <w:autoSpaceDE w:val="0"/>
        <w:autoSpaceDN w:val="0"/>
        <w:spacing w:after="120"/>
      </w:pPr>
      <w:r>
        <w:rPr>
          <w:rFonts w:ascii="맑은 고딕" w:hAnsi="맑은 고딕" w:eastAsia="맑은 고딕" w:cs="맑은 고딕"/>
          <w:color w:val="000000"/>
        </w:rPr>
        <w:t>○ 생활폐기물 수집·운반업 사업계획서에 대해 ‘기존 업체의 인력·장비로 충분하다’는 이유로 부적합 통보를 한 것이 적법한지가 문제된 사건입니다. 대법원은 열거 외 공익 사유로 부적합 통보는 가능하나, 이 사안의 부적합 통보는 재량을 일탈·남용한 위법한 처분이라고 본 원심을 정당하다고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법에 열거된 사항 외의 사유로도 사업계획서 부적합 통보를 할 수 있나요?</w:t>
            </w:r>
          </w:p>
          <w:p>
            <w:pPr>
              <w:autoSpaceDE w:val="0"/>
              <w:autoSpaceDN w:val="0"/>
            </w:pPr>
            <w:r>
              <w:rPr>
                <w:rFonts w:ascii="맑은 고딕" w:hAnsi="맑은 고딕" w:eastAsia="맑은 고딕" w:cs="맑은 고딕"/>
                <w:b w:val="0"/>
                <w:color w:val="000000"/>
                <w:sz w:val="19"/>
              </w:rPr>
              <w:t>A. 네. 공익을 해칠 우려가 있는 경우 등에는 열거된 사항 외의 사유로도 부적합 통보를 할 수 있습니다.</w:t>
            </w:r>
          </w:p>
          <w:p>
            <w:pPr>
              <w:autoSpaceDE w:val="0"/>
              <w:autoSpaceDN w:val="0"/>
            </w:pPr>
          </w:p>
          <w:p>
            <w:pPr>
              <w:autoSpaceDE w:val="0"/>
              <w:autoSpaceDN w:val="0"/>
            </w:pPr>
            <w:r>
              <w:rPr>
                <w:rFonts w:ascii="맑은 고딕" w:hAnsi="맑은 고딕" w:eastAsia="맑은 고딕" w:cs="맑은 고딕"/>
                <w:b/>
                <w:color w:val="000000"/>
                <w:sz w:val="19"/>
              </w:rPr>
              <w:t>Q. ‘기존 업체의 인력·장비로 충분하다’는 이유로 한 신규 허가 거부는 적법한가요?</w:t>
            </w:r>
          </w:p>
          <w:p>
            <w:pPr>
              <w:autoSpaceDE w:val="0"/>
              <w:autoSpaceDN w:val="0"/>
            </w:pPr>
            <w:r>
              <w:rPr>
                <w:rFonts w:ascii="맑은 고딕" w:hAnsi="맑은 고딕" w:eastAsia="맑은 고딕" w:cs="맑은 고딕"/>
                <w:b w:val="0"/>
                <w:color w:val="000000"/>
                <w:sz w:val="19"/>
              </w:rPr>
              <w:t>A. 이 사안에서는 재량권을 일탈·남용하여 위법하다고 본 원심 판단이 정당하다고 보았습니다.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2011두12283</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2011.11.10</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쟁점</w:t>
      </w:r>
    </w:p>
    <w:p>
      <w:pPr>
        <w:autoSpaceDE w:val="0"/>
        <w:autoSpaceDN w:val="0"/>
      </w:pPr>
      <w:r>
        <w:rPr>
          <w:rFonts w:ascii="맑은 고딕" w:hAnsi="맑은 고딕" w:eastAsia="맑은 고딕" w:cs="맑은 고딕"/>
          <w:color w:val="000000"/>
        </w:rPr>
        <w:t>[1] 폐기물처리업 허가에 관한 폐기물처리사업계획서가 적합한지를 심사하면서 구 폐기물관리법 제25조 제2항 각 호에서 열거한 사항 외의 사유로 부적합통보를 할 수 있는지 여부(적극)</w:t>
      </w:r>
      <w:r>
        <w:rPr>
          <w:rFonts w:ascii="맑은 고딕" w:hAnsi="맑은 고딕" w:eastAsia="맑은 고딕" w:cs="맑은 고딕"/>
          <w:color w:val="000000"/>
        </w:rPr>
        <w:br/>
      </w:r>
      <w:r>
        <w:rPr>
          <w:rFonts w:ascii="맑은 고딕" w:hAnsi="맑은 고딕" w:eastAsia="맑은 고딕" w:cs="맑은 고딕"/>
          <w:color w:val="000000"/>
        </w:rPr>
        <w:t>[2] 甲 주식회사가 제출한 생활폐기물수집·운반업을 위한 폐기물처리사업계획서에 대하여, 관할 구청장이 기존 업체가 보유하고 있는 인력과 장비로 충분한 처리가 이루어지고 있어서 별도의 신규허가가 어렵다는 사유로 부적합통보를 한 사안에서, 처분이 재량권을 일탈·남용하여 위법하다고 본 원심판단을 정당하다고 한 사례</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판단</w:t>
      </w:r>
    </w:p>
    <w:p>
      <w:pPr>
        <w:autoSpaceDE w:val="0"/>
        <w:autoSpaceDN w:val="0"/>
      </w:pPr>
      <w:r>
        <w:rPr>
          <w:rFonts w:ascii="맑은 고딕" w:hAnsi="맑은 고딕" w:eastAsia="맑은 고딕" w:cs="맑은 고딕"/>
          <w:color w:val="000000"/>
        </w:rPr>
        <w:t>① 항이 없다고 하더라도 폐기물의 수집·운반·처리에 관한 안정적이고 효율적인 책임행정의 이행 등 공익을 해칠 우려가 있다고 인정되는 경우에는 이를 이유로 사업계획서의 부적합통보를 할 수 있다고 볼 것이다.</w:t>
      </w:r>
      <w:r>
        <w:rPr>
          <w:rFonts w:ascii="맑은 고딕" w:hAnsi="맑은 고딕" w:eastAsia="맑은 고딕" w:cs="맑은 고딕"/>
          <w:color w:val="000000"/>
        </w:rPr>
        <w:br/>
      </w:r>
      <w:r>
        <w:rPr>
          <w:rFonts w:ascii="맑은 고딕" w:hAnsi="맑은 고딕" w:eastAsia="맑은 고딕" w:cs="맑은 고딕"/>
          <w:color w:val="000000"/>
        </w:rPr>
        <w:t>② 따라서 원심이 이와 달리 그 판시와 같은 사정을 이유로 법 제25조 제2항 각 호의 사유를 제한적으로 정한 것으로 보아, 여기에 열거된 사항 외의 사유, 즉 피고가 부산광역시 강서구 내에서 생활폐기물 발생량 등에 변동이 거의 없을 것으로 예상되고 기존에 허가된 1개의 수집·운반업체가 보유하고 있는 인력과 장비로 충분한 처리가 이루어지고 있어 별도의 신규허가가 어렵다는 것을 사유로 한 이 사건 처분에 대하여 곧바로 적법한 처분사유가 없다고 판단한 것은 적절하지 아니하다.</w:t>
      </w:r>
      <w:r>
        <w:rPr>
          <w:rFonts w:ascii="맑은 고딕" w:hAnsi="맑은 고딕" w:eastAsia="맑은 고딕" w:cs="맑은 고딕"/>
          <w:color w:val="000000"/>
        </w:rPr>
        <w:br/>
      </w:r>
      <w:r>
        <w:rPr>
          <w:rFonts w:ascii="맑은 고딕" w:hAnsi="맑은 고딕" w:eastAsia="맑은 고딕" w:cs="맑은 고딕"/>
          <w:color w:val="000000"/>
        </w:rPr>
        <w:t>③ 그러나 원심은 부가적으로 다음과 같이 판단하였다.</w:t>
      </w:r>
      <w:r>
        <w:rPr>
          <w:rFonts w:ascii="맑은 고딕" w:hAnsi="맑은 고딕" w:eastAsia="맑은 고딕" w:cs="맑은 고딕"/>
          <w:color w:val="000000"/>
        </w:rPr>
        <w:br/>
      </w:r>
      <w:r>
        <w:rPr>
          <w:rFonts w:ascii="맑은 고딕" w:hAnsi="맑은 고딕" w:eastAsia="맑은 고딕" w:cs="맑은 고딕"/>
          <w:color w:val="000000"/>
        </w:rPr>
        <w:t>④ 설사 피고가 폐기물사업처리계획서의 적합 여부를 검토하는 단계에서 법 제25조 제2항 각 호에서 정한 사유 이외의 사정들, 즉 폐기물의 발생량 및 향후 폐기물처리계획, 기존 업체의 처리능력 등을 고려할 수 있다고 하더라도, 폐기물처리사업계획서의 적합 여부를 결정하는 행정청이 관할구역 안에 1개의 폐기물수집·운반업체만이 허가되어 있는 상황에서 새로운 업체가 새로이 허가를 신청하는 경우에, 당해 지방자치단체 내의 폐기물발생량에 비하여 기존 업체의 시설이 과다하여 신규허가를 한다면 업체 사이의 과당경쟁 및 무계획적인 수집·운반으로 인하여 폐기물의 수집·운반에 관한 안정적이고 효율적인 책임행정의 이행이 불가능하게 될 것으로 예상되는 특별한 사정이 있는 경우가 아니고, 또한 법 제25조 제7항 소정의 영업구역 제한 기타 필요한 조건을 붙이더라도 이를 해결할 수 없는 상태가 아닌 한, 기존의 업체만으로도 폐기물의 수집·운반 등에 별다른 지장이 없다는 사유만으로 이를 거부함은 실질적으로 허가업체의 수를 유지하거나 독점적 대행권을 유지하는 것이 되어 법령의 목적에 위배되거나 객관적인 합리성과 타당성을 잃은 것으로서 위법하다는 것이다.</w:t>
      </w:r>
      <w:r>
        <w:rPr>
          <w:rFonts w:ascii="맑은 고딕" w:hAnsi="맑은 고딕" w:eastAsia="맑은 고딕" w:cs="맑은 고딕"/>
          <w:color w:val="000000"/>
        </w:rPr>
        <w:br/>
      </w:r>
      <w:r>
        <w:rPr>
          <w:rFonts w:ascii="맑은 고딕" w:hAnsi="맑은 고딕" w:eastAsia="맑은 고딕" w:cs="맑은 고딕"/>
          <w:color w:val="000000"/>
        </w:rPr>
        <w:t>⑤ 나아가 원심은 그 채용 증거를 종합하여 판시와 같은 사실을 인정한 다음, 피고가 원고나 다른 업체에 대하여 신규로 생활폐기물수집·운반업을 허가한다면 일시적으로 시설의 공급과잉현상이 나타나 피고보조참가인(이하 ‘참가인’)에게 어느 정도의 손해 발생이 예상되지만 신규허가로 인하여 업체의 난립 및 과당경쟁으로 기존 생활폐기물수집·운반의 질서가 파괴될 정도에 이른다고 볼 수 없고, 나아가 이 사건 처분 당시 참가인의 1일 생활폐기물수집·운반능력이 부산광역시 강서구의 1일 생활폐기물배출량을 훨씬 능가하게 된 데에는 종전에 신규 업체가 피고로부터 생활폐기물의 수집·운반업 허가를 위한 사업계획서의 반려처분을 받고 그 취소를 구하는 행정소송을 제기하였다가 패소한 후에 참가인이 폐기물의 수집·운반 차량을 대폭 늘린 데에도 그 원인이 있으므로 이러한 사정을 고려하지 아니한 채 참가인의 생활폐기물수집·운반능력이 생활폐기물배출량보다 많다는 이유로 신규업체의 시장진입을 허용하지 아니하는 것은 사실상 기존업체에게 독점적 대행권을 유지하는 결과가 된다는 등 그 판시와 같은 이유로 이 사건 처분이 재량권을 일탈·남용하여 위법하다고 보았다.</w:t>
      </w:r>
      <w:r>
        <w:rPr>
          <w:rFonts w:ascii="맑은 고딕" w:hAnsi="맑은 고딕" w:eastAsia="맑은 고딕" w:cs="맑은 고딕"/>
          <w:color w:val="000000"/>
        </w:rPr>
        <w:br/>
      </w:r>
      <w:r>
        <w:rPr>
          <w:rFonts w:ascii="맑은 고딕" w:hAnsi="맑은 고딕" w:eastAsia="맑은 고딕" w:cs="맑은 고딕"/>
          <w:color w:val="000000"/>
        </w:rPr>
        <w:t>⑥ 관련 법리에 비추어 기록을 살펴보면, 원심의 위와 같은 판단은 정당한 것으로 수긍할 수 있고, 거기에 상고이유로 주장하는 바와 같이 폐기물처리사업계획서의 적합성 판단에 관련하여 재량권의 범위 등에 관한 법리를 오해하는 등의 위법이 있다고 할 수 없다.</w:t>
      </w:r>
      <w:r>
        <w:rPr>
          <w:rFonts w:ascii="맑은 고딕" w:hAnsi="맑은 고딕" w:eastAsia="맑은 고딕" w:cs="맑은 고딕"/>
          <w:color w:val="000000"/>
        </w:rPr>
        <w:br/>
      </w:r>
      <w:r>
        <w:rPr>
          <w:rFonts w:ascii="맑은 고딕" w:hAnsi="맑은 고딕" w:eastAsia="맑은 고딕" w:cs="맑은 고딕"/>
          <w:color w:val="000000"/>
        </w:rPr>
        <w:t>⑦ 따라서 이 사건 처분이 위법하다고 본 원심의 판단이 결론에 있어서 정당한 이상, 결국 상고이유의 주장은 받아들일 수 없다.</w:t>
      </w:r>
      <w:r>
        <w:rPr>
          <w:rFonts w:ascii="맑은 고딕" w:hAnsi="맑은 고딕" w:eastAsia="맑은 고딕" w:cs="맑은 고딕"/>
          <w:color w:val="000000"/>
        </w:rPr>
        <w:br/>
      </w:r>
      <w:r>
        <w:rPr>
          <w:rFonts w:ascii="맑은 고딕" w:hAnsi="맑은 고딕" w:eastAsia="맑은 고딕" w:cs="맑은 고딕"/>
          <w:color w:val="000000"/>
        </w:rPr>
        <w:t>⑧ 그러므로 상고를 모두 기각하고 상고비용은 보조참 …</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판결요지</w:t>
      </w:r>
    </w:p>
    <w:p>
      <w:pPr>
        <w:autoSpaceDE w:val="0"/>
        <w:autoSpaceDN w:val="0"/>
      </w:pPr>
      <w:r>
        <w:rPr>
          <w:rFonts w:ascii="맑은 고딕" w:hAnsi="맑은 고딕" w:eastAsia="맑은 고딕" w:cs="맑은 고딕"/>
          <w:color w:val="000000"/>
        </w:rPr>
        <w:t>[1] 구 폐기물관리법(2010. 7. 23. 법률 제10389호로 개정되기 전의 것, 이하 ‘법’이라 한다)의 입법목적과 규정사항, 폐기물처리업 허가의 성격, 사업계획서적합통보제도의 취지와 함께 폐기물의 원활하고 적정한 처리라는 공익을 책임지고 실현하기 위한 행정의 합목적성 등을 종합하여 볼 때, 폐기물처리사업계획서의 적합 여부를 심사함에 있어서 법 제25조 제2항 각 호에서 열거된 사항을 검토한 결과 이에 저촉되거나 문제되는 사항이 없다고 하더라도 폐기물의 수집·운반·처리에 관한 안정적이고 효율적인 책임행정의 이행 등 공익을 해칠 우려가 있다고 인정되는 경우에는 이를 이유로 사업계획서의 부적합통보를 할 수 있다고 볼 것이다.</w:t>
      </w:r>
      <w:r>
        <w:rPr>
          <w:rFonts w:ascii="맑은 고딕" w:hAnsi="맑은 고딕" w:eastAsia="맑은 고딕" w:cs="맑은 고딕"/>
          <w:color w:val="000000"/>
        </w:rPr>
        <w:br/>
      </w:r>
      <w:r>
        <w:rPr>
          <w:rFonts w:ascii="맑은 고딕" w:hAnsi="맑은 고딕" w:eastAsia="맑은 고딕" w:cs="맑은 고딕"/>
          <w:color w:val="000000"/>
        </w:rPr>
        <w:t>[2] 甲 주식회사가 제출한 생활폐기물수집·운반업을 위한 폐기물처리사업계획서에 대하여, 관할 구청장이 기존 업체가 보유하고 있는 인력과 장비로 충분한 처리가 이루어지고 있어서 별도의 신규허가가 어렵다는 사유로 부적합하다는 통보를 한 사안에서, 원심이 구 폐기물관리법(2010. 7. 23. 법률 제10389호로 개정되기 전의 것) 제25조 제2항 각 호의 사유를 제한적인 것으로 보아 여기에 열거된 사항 외의 것을 사유로 한 위 처분에 대하여 곧바로 적법한 처분사유가 없다고 본 것은 적절하지 않지만, 부가적으로 관할 구청장이 甲 회사나 다른 업체에 신규로 생활폐기물수집·운반업을 허가한다면 일시적으로 시설의 공급과잉현상이 나타나 기존 업체에 어느 정도의 손해 발생이 예상되나 이로 인하여 업체 난립 및 과당경쟁으로 기존 생활폐기물수집·운반 질서가 파괴될 정도에 이른다고 할 수 없고, 처분 당시 기존 업체의 1일 생활폐기물수집·운반능력이 대상 영업구역의 1일 생활폐기물배출량을 훨씬 능가하게 된 데에는 기존 업체가 폐기물의 수집·운반차량을 대폭 늘린 데에도 원인이 있으므로 이를 고려하지 않은 채 기존 업체의 생활폐기물수집·운반능력이 생활폐기물배출량보다 많다며 신규 업체의 시장진입을 허용하지 아니하는 것은 사실상 기존 업체에 독점적 대행권을 유지하는 결과가 된다는 등의 이유로 위 처분이 재량권을 일탈·남용하여 위법하다고 본 것은 정당하다고 한 사례.</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제1조</w:t>
            </w:r>
          </w:p>
        </w:tc>
        <w:tc>
          <w:tcPr>
            <w:tcW w:type="pct" w:w="3500"/>
          </w:tcPr>
          <w:p>
            <w:pPr>
              <w:autoSpaceDE w:val="0"/>
              <w:autoSpaceDN w:val="0"/>
            </w:pPr>
            <w:r/>
            <w:r>
              <w:rPr>
                <w:rFonts w:ascii="맑은 고딕" w:hAnsi="맑은 고딕" w:eastAsia="맑은 고딕" w:cs="맑은 고딕"/>
                <w:b w:val="0"/>
                <w:color w:val="000000"/>
                <w:sz w:val="19"/>
              </w:rPr>
              <w:t>이 법은 폐기물의 발생을 최대한 억제하고 발생한 폐기물을 친환경적으로 처리함으로써 환경보전과 국민생활의 질적 향상에 이바지하는 것을 목적으로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제4조 제1항</w:t>
            </w:r>
          </w:p>
        </w:tc>
        <w:tc>
          <w:tcPr>
            <w:tcW w:type="pct" w:w="3500"/>
          </w:tcPr>
          <w:p>
            <w:pPr>
              <w:autoSpaceDE w:val="0"/>
              <w:autoSpaceDN w:val="0"/>
            </w:pPr>
            <w:r/>
            <w:r>
              <w:rPr>
                <w:rFonts w:ascii="맑은 고딕" w:hAnsi="맑은 고딕" w:eastAsia="맑은 고딕" w:cs="맑은 고딕"/>
                <w:b w:val="0"/>
                <w:color w:val="000000"/>
                <w:sz w:val="19"/>
              </w:rPr>
              <w:t>①특별자치시장, 특별자치도지사, 시장ㆍ군수ㆍ구청장(자치구의 구청장을 말한다. 이하 같다)은 관할 구역의 폐기물의 배출 및 처리상황을 파악하여 폐기물이 적정하게 처리될 수 있도록 폐기물처리시설을 설치ㆍ운영하여야 하며, 폐기물의 처리방법의 개선 및 관계인의 자질 향상으로 폐기물 처리사업을 능률적으로 수행하는 한편, 주민과 사업자의 청소 의식 함양과 폐기물 발생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제4조 제2항</w:t>
            </w:r>
          </w:p>
        </w:tc>
        <w:tc>
          <w:tcPr>
            <w:tcW w:type="pct" w:w="3500"/>
          </w:tcPr>
          <w:p>
            <w:pPr>
              <w:autoSpaceDE w:val="0"/>
              <w:autoSpaceDN w:val="0"/>
            </w:pPr>
            <w:r/>
            <w:r>
              <w:rPr>
                <w:rFonts w:ascii="맑은 고딕" w:hAnsi="맑은 고딕" w:eastAsia="맑은 고딕" w:cs="맑은 고딕"/>
                <w:b w:val="0"/>
                <w:color w:val="000000"/>
                <w:sz w:val="19"/>
              </w:rPr>
              <w:t>②특별시장ㆍ광역시장ㆍ도지사는 시장ㆍ군수ㆍ구청장이 제1항에 따른 책무를 충실하게 하도록 기술적ㆍ재정적 지원을 하고, 그 관할 구역의 폐기물 처리사업에 대한 조정을 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제14조 제1항 제2항</w:t>
            </w:r>
          </w:p>
        </w:tc>
        <w:tc>
          <w:tcPr>
            <w:tcW w:type="pct" w:w="3500"/>
          </w:tcPr>
          <w:p>
            <w:pPr>
              <w:autoSpaceDE w:val="0"/>
              <w:autoSpaceDN w:val="0"/>
            </w:pPr>
            <w:r/>
            <w:r>
              <w:rPr>
                <w:rFonts w:ascii="맑은 고딕" w:hAnsi="맑은 고딕" w:eastAsia="맑은 고딕" w:cs="맑은 고딕"/>
                <w:b w:val="0"/>
                <w:color w:val="000000"/>
                <w:sz w:val="19"/>
              </w:rPr>
              <w:t>①특별자치시장, 특별자치도지사, 시장ㆍ군수ㆍ구청장은 관할 구역에서 배출되는 생활폐기물을 처리하여야 한다. 다만, 기후에너지환경부령으로 정하는 바에 따라 특별자치시장, 특별자치도지사, 시장ㆍ군수ㆍ구청장이 지정하는 지역은 제외한다.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제2항</w:t>
            </w:r>
          </w:p>
        </w:tc>
        <w:tc>
          <w:tcPr>
            <w:tcW w:type="pct" w:w="3500"/>
          </w:tcPr>
          <w:p>
            <w:pPr>
              <w:autoSpaceDE w:val="0"/>
              <w:autoSpaceDN w:val="0"/>
            </w:pPr>
            <w:r/>
            <w:r>
              <w:rPr>
                <w:rFonts w:ascii="맑은 고딕" w:hAnsi="맑은 고딕" w:eastAsia="맑은 고딕" w:cs="맑은 고딕"/>
                <w:b w:val="0"/>
                <w:color w:val="000000"/>
                <w:sz w:val="19"/>
              </w:rPr>
              <w:t>② 기후에너지환경부장관이나 시ㆍ도지사는 제1항에 따라 제출된 폐기물 처리사업계획서를 다음 각 호의 사항에 관하여 검토한 후 그 적합 여부를 폐기물처리사업계획서를 제출한 자에게 통보하여야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제3항</w:t>
            </w:r>
          </w:p>
        </w:tc>
        <w:tc>
          <w:tcPr>
            <w:tcW w:type="pct" w:w="3500"/>
          </w:tcPr>
          <w:p>
            <w:pPr>
              <w:autoSpaceDE w:val="0"/>
              <w:autoSpaceDN w:val="0"/>
            </w:pPr>
            <w:r/>
            <w:r>
              <w:rPr>
                <w:rFonts w:ascii="맑은 고딕" w:hAnsi="맑은 고딕" w:eastAsia="맑은 고딕" w:cs="맑은 고딕"/>
                <w:b w:val="0"/>
                <w:color w:val="000000"/>
                <w:sz w:val="19"/>
              </w:rPr>
              <w:t>③제2항에 따라 적합통보를 받은 자는 그 통보를 받은 날부터 2년(제5항제1호에 따른 폐기물 수집ㆍ운반업의 경우에는 6개월, 폐기물처리업 중 소각시설과 매립시설의 설치가 필요한 경우에는 3년) 이내에 기후에너지환경부령으로 정하는 기준에 따른 시설ㆍ장비 및 기술능력을 갖추어 업종, 영업대상 폐기물 및 처리분야별로 지정폐기물을 대상으로 하는 경우에는 기후에너지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제4항</w:t>
            </w:r>
          </w:p>
        </w:tc>
        <w:tc>
          <w:tcPr>
            <w:tcW w:type="pct" w:w="3500"/>
          </w:tcPr>
          <w:p>
            <w:pPr>
              <w:autoSpaceDE w:val="0"/>
              <w:autoSpaceDN w:val="0"/>
            </w:pPr>
            <w:r/>
            <w:r>
              <w:rPr>
                <w:rFonts w:ascii="맑은 고딕" w:hAnsi="맑은 고딕" w:eastAsia="맑은 고딕" w:cs="맑은 고딕"/>
                <w:b w:val="0"/>
                <w:color w:val="000000"/>
                <w:sz w:val="19"/>
              </w:rPr>
              <w:t>④ 기후에너지환경부장관 또는 시ㆍ도지사는 천재지변이나 그 밖의 부득이한 사유로 제3항의 기간 내에 허가신청을 하지 못한 자에 대하여는 신청에 따라 총 연장기간 1년(제5항제1호에 따른 폐기물 수집ㆍ운반업의 경우에는 총 연장기간 6개월, 같은 항 제3호에 따른 폐기물 최종처분업과 같은 항 제4호에 따른 폐기물 종합처분업의 경우에는 총 연장기간 2년)의 범위에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제28조 제1항</w:t>
            </w:r>
          </w:p>
        </w:tc>
        <w:tc>
          <w:tcPr>
            <w:tcW w:type="pct" w:w="3500"/>
          </w:tcPr>
          <w:p>
            <w:pPr>
              <w:autoSpaceDE w:val="0"/>
              <w:autoSpaceDN w:val="0"/>
            </w:pPr>
            <w:r/>
            <w:r>
              <w:rPr>
                <w:rFonts w:ascii="맑은 고딕" w:hAnsi="맑은 고딕" w:eastAsia="맑은 고딕" w:cs="맑은 고딕"/>
                <w:b w:val="0"/>
                <w:color w:val="000000"/>
                <w:sz w:val="19"/>
              </w:rPr>
              <w:t>① 법 제25조제1항에 따라 폐기물처리업을 하려는 자는 별지 제17호서식의 폐기물처리 사업계획서에 다음 각 호의 구분에 따른 서류를 첨부하여 폐기물 중간처분시설 및 최종처분시설(이하 "폐기물 처분시설"이라 한다) 또는 재활용시설 설치예정지(지정폐기물 수집ㆍ운반업의 경우에는 주차장 소재지, 지정폐기물 외 폐기물 수집ㆍ운반업의 경우에는 연락장소 또는 사무실 소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제28조 제2항</w:t>
            </w:r>
          </w:p>
        </w:tc>
        <w:tc>
          <w:tcPr>
            <w:tcW w:type="pct" w:w="3500"/>
          </w:tcPr>
          <w:p>
            <w:pPr>
              <w:autoSpaceDE w:val="0"/>
              <w:autoSpaceDN w:val="0"/>
            </w:pPr>
            <w:r/>
            <w:r>
              <w:rPr>
                <w:rFonts w:ascii="맑은 고딕" w:hAnsi="맑은 고딕" w:eastAsia="맑은 고딕" w:cs="맑은 고딕"/>
                <w:b w:val="0"/>
                <w:color w:val="000000"/>
                <w:sz w:val="19"/>
              </w:rPr>
              <w:t>② 1개의 폐기물 처분시설 또는 재활용시설에 대하여 2개 이상의 사업자로 나누어 법 제25조에 따른 폐기물처리업허가를 신청하거나, 법 제29조에 따른 폐기물 처분시설 또는 재활용시설 설치 승인 또는 신고를 하여서는 아니 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제28조 제3항</w:t>
            </w:r>
          </w:p>
        </w:tc>
        <w:tc>
          <w:tcPr>
            <w:tcW w:type="pct" w:w="3500"/>
          </w:tcPr>
          <w:p>
            <w:pPr>
              <w:autoSpaceDE w:val="0"/>
              <w:autoSpaceDN w:val="0"/>
            </w:pPr>
            <w:r/>
            <w:r>
              <w:rPr>
                <w:rFonts w:ascii="맑은 고딕" w:hAnsi="맑은 고딕" w:eastAsia="맑은 고딕" w:cs="맑은 고딕"/>
                <w:b w:val="0"/>
                <w:color w:val="000000"/>
                <w:sz w:val="19"/>
              </w:rPr>
              <w:t>③ 법 제25조제1항 후단에서 "기후에너지환경부령으로 정하는 중요 사항"이란 다음 각 호의 구분에 따른 사항을 말한다.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제28조 제4항</w:t>
            </w:r>
          </w:p>
        </w:tc>
        <w:tc>
          <w:tcPr>
            <w:tcW w:type="pct" w:w="3500"/>
          </w:tcPr>
          <w:p>
            <w:pPr>
              <w:autoSpaceDE w:val="0"/>
              <w:autoSpaceDN w:val="0"/>
            </w:pPr>
            <w:r/>
            <w:r>
              <w:rPr>
                <w:rFonts w:ascii="맑은 고딕" w:hAnsi="맑은 고딕" w:eastAsia="맑은 고딕" w:cs="맑은 고딕"/>
                <w:b w:val="0"/>
                <w:color w:val="000000"/>
                <w:sz w:val="19"/>
              </w:rPr>
              <w:t>④ 법 제25조제3항에 따라 허가를 받고자 하는 자는 별지 제18호서식의 허가신청서에 다음 각 호의 구분에 따른 서류를 첨부하여 시ㆍ도지사나 지방환경관서의 장에게 제출하여야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제28조 제5항</w:t>
            </w:r>
          </w:p>
        </w:tc>
        <w:tc>
          <w:tcPr>
            <w:tcW w:type="pct" w:w="3500"/>
          </w:tcPr>
          <w:p>
            <w:pPr>
              <w:autoSpaceDE w:val="0"/>
              <w:autoSpaceDN w:val="0"/>
            </w:pPr>
            <w:r/>
            <w:r>
              <w:rPr>
                <w:rFonts w:ascii="맑은 고딕" w:hAnsi="맑은 고딕" w:eastAsia="맑은 고딕" w:cs="맑은 고딕"/>
                <w:b w:val="0"/>
                <w:color w:val="000000"/>
                <w:sz w:val="19"/>
              </w:rPr>
              <w:t>⑤ 시ㆍ도지사나 지방환경관서의 장은 법 제25조제1항 및 제2항에 따른 절차를 거치지 아니한 자에 대하여 제4항에 따른 허가를 하려는 경우에는 법 제25조제2항 각 호의 사항을 검토하여야 한다.</w:t>
            </w:r>
          </w:p>
        </w:tc>
      </w:tr>
    </w:tbl>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https://www.law.go.kr/판례/(2011두12283)</w:t>
      </w:r>
    </w:p>
    <w:p>
      <w:pPr>
        <w:autoSpaceDE w:val="0"/>
        <w:autoSpaceDN w:val="0"/>
        <w:spacing w:before="80"/>
      </w:pPr>
      <w:r>
        <w:rPr>
          <w:rFonts w:ascii="맑은 고딕" w:hAnsi="맑은 고딕" w:eastAsia="맑은 고딕" w:cs="맑은 고딕"/>
          <w:color w:val="000000"/>
          <w:sz w:val="18"/>
        </w:rPr>
        <w:t>태그  #폐기물판례 #폐기물처리사업계획서 #부적합통보 #행정판례 #대법원판례 #2011년판례 #2011두12283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