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2015. 10. 1.경부터 2015. 10. 2.경까지 폐기물관리법 위반의 점에 대하여 범죄의 증명이 없다고 보아, 이를 유죄로 판단한 제1심판결을 파기하고 무죄를 선고하였다.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②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③ 그럼에도 원심은 그 판시와 같은 이유를 들어 폐기물관리법 제25조 제3항의 폐기물처리업 허가를 받은 자에 그 권리·의무를 승계한 양수인도 포함된다고 보아 피고인의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④ 이러한 원심의 판단에는 폐기물관리법 제64조 제6호의 해석에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⑥ 나머지 상고이유에 관하여 원심은 그 판시와 같은 이유를 들어 피고인에 대한 공소사실 중 국가기술자격법 위반의 점, 지정된 장소 이외의 곳에 사업장폐기물을 버린 행위로 인한 폐기물관리법 위반의 점을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⑦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t>⑧ 파기의 범위 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제6호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