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산업단지 관리기본계획에 안 맞으면 폐기물처리사업계획서가 반려될까요?</w:t>
      </w:r>
    </w:p>
    <w:p>
      <w:pPr>
        <w:pStyle w:val="law1"/>
        <w:autoSpaceDE w:val="0"/>
        <w:autoSpaceDN w:val="0"/>
        <w:spacing w:after="160"/>
      </w:pPr>
      <w:r>
        <w:rPr>
          <w:rFonts w:ascii="맑은 고딕" w:hAnsi="맑은 고딕" w:eastAsia="맑은 고딕" w:cs="맑은 고딕"/>
          <w:color w:val="000000"/>
        </w:rPr>
        <w:t>대법원 2021두45671 (2021.12.30 선고)</w:t>
      </w:r>
    </w:p>
    <w:p>
      <w:pPr>
        <w:autoSpaceDE w:val="0"/>
        <w:autoSpaceDN w:val="0"/>
        <w:spacing w:after="120"/>
      </w:pPr>
      <w:r>
        <w:rPr>
          <w:rFonts w:ascii="맑은 고딕" w:hAnsi="맑은 고딕" w:eastAsia="맑은 고딕" w:cs="맑은 고딕"/>
          <w:color w:val="000000"/>
        </w:rPr>
        <w:t>○ 산업단지에서 폐기물처리업(금속원료재생업)을 하려는 사업계획서가 관리기본계획에 맞지 않을 때 폐기물관리법으로 부적합 통보를 할 수 있는지가 문제된 사건입니다. 대법원은 가능하다고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산업단지 관리기본계획에 맞지 않는 사업계획서를 부적합 통보할 수 있나요?</w:t>
            </w:r>
          </w:p>
          <w:p>
            <w:pPr>
              <w:autoSpaceDE w:val="0"/>
              <w:autoSpaceDN w:val="0"/>
            </w:pPr>
            <w:r>
              <w:rPr>
                <w:rFonts w:ascii="맑은 고딕" w:hAnsi="맑은 고딕" w:eastAsia="맑은 고딕" w:cs="맑은 고딕"/>
                <w:b w:val="0"/>
                <w:color w:val="000000"/>
                <w:sz w:val="19"/>
              </w:rPr>
              <w:t>A. 네. 관리기본계획에 저촉되면 시·도지사는 폐기물관리법 제25조 제2항 제2호(입지가 다른 법률에 저촉)를 근거로 부적합 통보를 할 수 있습니다.</w:t>
            </w:r>
          </w:p>
          <w:p>
            <w:pPr>
              <w:autoSpaceDE w:val="0"/>
              <w:autoSpaceDN w:val="0"/>
            </w:pPr>
          </w:p>
          <w:p>
            <w:pPr>
              <w:autoSpaceDE w:val="0"/>
              <w:autoSpaceDN w:val="0"/>
            </w:pPr>
            <w:r>
              <w:rPr>
                <w:rFonts w:ascii="맑은 고딕" w:hAnsi="맑은 고딕" w:eastAsia="맑은 고딕" w:cs="맑은 고딕"/>
                <w:b/>
                <w:color w:val="000000"/>
                <w:sz w:val="19"/>
              </w:rPr>
              <w:t>Q. 담당 공무원의 구두 답변을 믿었다면 신뢰보호를 받을 수 있나요?</w:t>
            </w:r>
          </w:p>
          <w:p>
            <w:pPr>
              <w:autoSpaceDE w:val="0"/>
              <w:autoSpaceDN w:val="0"/>
            </w:pPr>
            <w:r>
              <w:rPr>
                <w:rFonts w:ascii="맑은 고딕" w:hAnsi="맑은 고딕" w:eastAsia="맑은 고딕" w:cs="맑은 고딕"/>
                <w:b w:val="0"/>
                <w:color w:val="000000"/>
                <w:sz w:val="19"/>
              </w:rPr>
              <w:t>A. 구두 답변이 관리기본계획 내용을 그대로 알려준 것에 불과하면 공적 견해표명으로 볼 수 없어 신뢰보호 대상이 아닙니다.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2021두45671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2021.12.30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원고는 반도체 소재 제조업을 영위하는 회사이다.</w:t>
      </w:r>
      <w:r>
        <w:rPr>
          <w:rFonts w:ascii="맑은 고딕" w:hAnsi="맑은 고딕" w:eastAsia="맑은 고딕" w:cs="맑은 고딕"/>
          <w:color w:val="000000"/>
        </w:rPr>
        <w:br/>
      </w:r>
      <w:r>
        <w:rPr>
          <w:rFonts w:ascii="맑은 고딕" w:hAnsi="맑은 고딕" w:eastAsia="맑은 고딕" w:cs="맑은 고딕"/>
          <w:color w:val="000000"/>
        </w:rPr>
        <w:t>② 피고는 충북 음성군 (주소 1 생략) 일원에 있는 ○○산업단지(이하 ‘이 사건 산업단지’라 한다)의 관리기관이자 충청북도지사로부터 충북 음성군 지역의 폐기물처리사업계획서 적합 여부 통보 권한을 위임받은 행정청이다.</w:t>
      </w:r>
      <w:r>
        <w:rPr>
          <w:rFonts w:ascii="맑은 고딕" w:hAnsi="맑은 고딕" w:eastAsia="맑은 고딕" w:cs="맑은 고딕"/>
          <w:color w:val="000000"/>
        </w:rPr>
        <w:br/>
      </w:r>
      <w:r>
        <w:rPr>
          <w:rFonts w:ascii="맑은 고딕" w:hAnsi="맑은 고딕" w:eastAsia="맑은 고딕" w:cs="맑은 고딕"/>
          <w:color w:val="000000"/>
        </w:rPr>
        <w:t>③ 원고는 2017. 9. 15. 피고와 사이에 「산업집적활성화 및 공장설립에 관한 법률」(이하 ‘산업집적법’이라 한다) 제38조 제1항에 따라 업종을 기타 반도체 소재 제조업(C26), 공장소재지를 이 사건 산업단지 내 산업시설구역에 있는 위 (주소 2 생략) 공장부지로 정하여 입주계약(이하 ‘이 사건 입주계약’이라 한다)을 체결하고, 위 공장부지에 공장(이하 ‘이 사건 공장’이라 한다)을 신축하였다.</w:t>
      </w:r>
      <w:r>
        <w:rPr>
          <w:rFonts w:ascii="맑은 고딕" w:hAnsi="맑은 고딕" w:eastAsia="맑은 고딕" w:cs="맑은 고딕"/>
          <w:color w:val="000000"/>
        </w:rPr>
        <w:br/>
      </w:r>
      <w:r>
        <w:rPr>
          <w:rFonts w:ascii="맑은 고딕" w:hAnsi="맑은 고딕" w:eastAsia="맑은 고딕" w:cs="맑은 고딕"/>
          <w:color w:val="000000"/>
        </w:rPr>
        <w:t>④ 원고는 2018. 10. 18. 피고에게 이 사건 공장에서 주석찌꺼기 폐기물을 재활용하여 반도체 소재 재료 원료인 주석괴를 만들겠다는 내용의 폐기물처리사업계획서(이하 ‘이 사건 사업계획서’라고 한다)를 제출하였다.</w:t>
      </w:r>
      <w:r>
        <w:rPr>
          <w:rFonts w:ascii="맑은 고딕" w:hAnsi="맑은 고딕" w:eastAsia="맑은 고딕" w:cs="맑은 고딕"/>
          <w:color w:val="000000"/>
        </w:rPr>
        <w:br/>
      </w:r>
      <w:r>
        <w:rPr>
          <w:rFonts w:ascii="맑은 고딕" w:hAnsi="맑은 고딕" w:eastAsia="맑은 고딕" w:cs="맑은 고딕"/>
          <w:color w:val="000000"/>
        </w:rPr>
        <w:t>⑤ 피고는 2018. 11. 13. 원고에 대하여 이 사건 산업단지의 관리기본계획에 따르면 이 사건 공장에서 폐기물 수집·운반·처리 및 원료재생업(E38)의 하위업종인 금속원료재생업(E38301)을 할 수 없다는 이유로 부적합 통보(이하 ‘이 사건 처분’이라 한다)를 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이 사건의 쟁점은 ① 이 사건 사업계획서가 이 사건 산업단지의 관리기본계획에 위배되는지, ② 이 사건 처분이 신뢰보호원칙에 위배되는지 여부이다.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 원심은 이 사건 사업계획서가 이 사건 관리기본계획에 위배된다고 하더라도 원고의 직원들이 음성군청 공무원인 소외 1과 소외 2에게 이 사건 공장에서 금속원료재생업을 할 수 있는지를 문의하여 긍정적인 답변을 들었고, 원고는 이를 믿고 금속원료재생업을 영위하기 위해 이미 상당한 비용을 투자하였으므로, 이 사건 처분은 신뢰보호원칙에 위배된다고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위와 같은 원심의 판단은 수긍하기 어렵다.</w:t>
      </w:r>
      <w:r>
        <w:rPr>
          <w:rFonts w:ascii="맑은 고딕" w:hAnsi="맑은 고딕" w:eastAsia="맑은 고딕" w:cs="맑은 고딕"/>
          <w:color w:val="000000"/>
        </w:rPr>
        <w:br/>
      </w:r>
      <w:r>
        <w:rPr>
          <w:rFonts w:ascii="맑은 고딕" w:hAnsi="맑은 고딕" w:eastAsia="맑은 고딕" w:cs="맑은 고딕"/>
          <w:color w:val="000000"/>
        </w:rPr>
        <w:t>③ 일반적으로 행정청의 행위에 대하여 신뢰보호원칙이 적용되기 위해서는, 행정청이 개인에 대하여 신뢰의 대상이 되는 공적인 견해표명을 하여야 하고, 행정청의 견해표명이 정당하다고 신뢰한 데에 대하여 그 개인에게 귀책사유가 없어야 하며, 그 개인이 그 견해표명을 신뢰하고 이에 상응하는 어떠한 행위를 하였어야 하고, 행정청이 그 견해표명에 반하는 처분을 함으로써 견해표명을 신뢰한 개인의 이익이 침해되는 결과가 초래되어야 하며, 그 견해표명에 따른 행정처분을 할 경우 이로 인하여 공익 또는 제3자의 정당한 이익을 현저히 해할 우려가 있는 경우가 아니어야 한다(대법원 2020. 7. 23. 선고 2020두33824 판결). 신뢰보호원칙의 적용 요건인 행정청의 공적 견해표명이 있었는지를 판단할 때 행정조직상의 형식적인 권한분장에 구애될 것은 아니지만, 공적 견해표명이 있다고 인정하기 위해서는 적어도 담당자의 조직상 지위와 임무, 당해 언동을 하게 된 구체적인 경위 등에 비추어 그 언동의 내용을 신뢰할 수 있는 경우이어야 한다(대법원 2016. 6. 28. 선고 2014두2638 판결 등 참조). 기록에 의하면 다음과 같은 사정을 알 수 있다.</w:t>
      </w:r>
      <w:r>
        <w:rPr>
          <w:rFonts w:ascii="맑은 고딕" w:hAnsi="맑은 고딕" w:eastAsia="맑은 고딕" w:cs="맑은 고딕"/>
          <w:color w:val="000000"/>
        </w:rPr>
        <w:br/>
      </w:r>
      <w:r>
        <w:rPr>
          <w:rFonts w:ascii="맑은 고딕" w:hAnsi="맑은 고딕" w:eastAsia="맑은 고딕" w:cs="맑은 고딕"/>
          <w:color w:val="000000"/>
        </w:rPr>
        <w:t>④ 가) 원고의 직원들은 음성군청에서 폐기물처리사업계획서 적합 여부 통보 업무 등을 담당하던 소외 1에게 이 사건 공장에서 금속원료재생업을 할 수 있는지를 구두로 문의하였다.</w:t>
      </w:r>
      <w:r>
        <w:rPr>
          <w:rFonts w:ascii="맑은 고딕" w:hAnsi="맑은 고딕" w:eastAsia="맑은 고딕" w:cs="맑은 고딕"/>
          <w:color w:val="000000"/>
        </w:rPr>
        <w:br/>
      </w:r>
      <w:r>
        <w:rPr>
          <w:rFonts w:ascii="맑은 고딕" w:hAnsi="맑은 고딕" w:eastAsia="맑은 고딕" w:cs="맑은 고딕"/>
          <w:color w:val="000000"/>
        </w:rPr>
        <w:t>⑤ 이에 대하여 소외 1은 ‘1차금속 제조업으로 입주계약 변경계약을 체결하면 금속원료재생업을 할 수 있다.’는 취지로 답변하였다.</w:t>
      </w:r>
      <w:r>
        <w:rPr>
          <w:rFonts w:ascii="맑은 고딕" w:hAnsi="맑은 고딕" w:eastAsia="맑은 고딕" w:cs="맑은 고딕"/>
          <w:color w:val="000000"/>
        </w:rPr>
        <w:br/>
      </w:r>
      <w:r>
        <w:rPr>
          <w:rFonts w:ascii="맑은 고딕" w:hAnsi="맑은 고딕" w:eastAsia="맑은 고딕" w:cs="맑은 고딕"/>
          <w:color w:val="000000"/>
        </w:rPr>
        <w:t>⑥ 그런데 위 답변 내용은 이 사건 관리기본계획의 내용을 그대로 알려준 것에 불과하다고 보인다.</w:t>
      </w:r>
      <w:r>
        <w:rPr>
          <w:rFonts w:ascii="맑은 고딕" w:hAnsi="맑은 고딕" w:eastAsia="맑은 고딕" w:cs="맑은 고딕"/>
          <w:color w:val="000000"/>
        </w:rPr>
        <w:br/>
      </w:r>
      <w:r>
        <w:rPr>
          <w:rFonts w:ascii="맑은 고딕" w:hAnsi="맑은 고딕" w:eastAsia="맑은 고딕" w:cs="맑은 고딕"/>
          <w:color w:val="000000"/>
        </w:rPr>
        <w:t>⑦ 위 답변 내용이 원고의 주장처럼 1차금속 제조업으로 업종 변경계약을 체결하지 않고도 금속원료재생업을 할 수 있다는 취지로는 보이지 않는다.</w:t>
      </w:r>
      <w:r>
        <w:rPr>
          <w:rFonts w:ascii="맑은 고딕" w:hAnsi="맑은 고딕" w:eastAsia="맑은 고딕" w:cs="맑은 고딕"/>
          <w:color w:val="000000"/>
        </w:rPr>
        <w:br/>
      </w:r>
      <w:r>
        <w:rPr>
          <w:rFonts w:ascii="맑은 고딕" w:hAnsi="맑은 고딕" w:eastAsia="맑은 고딕" w:cs="맑은 고딕"/>
          <w:color w:val="000000"/>
        </w:rPr>
        <w:t>⑧ 나) 원고의 직원들은 그 무렵 평소 친분이 있던 음성군청 공무원인 소외 2에게도 구두로 이 사건 공장에서 금속원료재생업을 할 수 있는지를 문의하였다.</w:t>
      </w:r>
      <w:r>
        <w:rPr>
          <w:rFonts w:ascii="맑은 고딕" w:hAnsi="맑은 고딕" w:eastAsia="맑은 고딕" w:cs="맑은 고딕"/>
          <w:color w:val="000000"/>
        </w:rPr>
        <w:br/>
      </w:r>
      <w:r>
        <w:rPr>
          <w:rFonts w:ascii="맑은 고딕" w:hAnsi="맑은 고딕" w:eastAsia="맑은 고딕" w:cs="맑은 고딕"/>
          <w:color w:val="000000"/>
        </w:rPr>
        <w:t>⑨ 소외 2는 그 당시 폐기물처리사업계획서 적합 여부 통보 업무 등을 담당하고 있지 않았고, 소외 1에게 이를 확인하여 소외 1의 답변 내용을 원고의 직원들에게 전달하였을 뿐이다.</w:t>
      </w:r>
      <w:r>
        <w:rPr>
          <w:rFonts w:ascii="맑은 고딕" w:hAnsi="맑은 고딕" w:eastAsia="맑은 고딕" w:cs="맑은 고딕"/>
          <w:color w:val="000000"/>
        </w:rPr>
        <w:br/>
      </w:r>
      <w:r>
        <w:rPr>
          <w:rFonts w:ascii="맑은 고딕" w:hAnsi="맑은 고딕" w:eastAsia="맑은 고딕" w:cs="맑은 고딕"/>
          <w:color w:val="000000"/>
        </w:rPr>
        <w:t>⑩ 다) 원고의 임직원이 피고에게 이 사건 공장의 현 소재지에서 1차금속 제조업으로 업종 변경계약을 체결하지 않고도 금속원료재생업을 할 수 있는지를 서면으로 정식 문의하였다는 점에 관한 구체적인 주장, 증명은 없다.</w:t>
      </w:r>
      <w:r>
        <w:rPr>
          <w:rFonts w:ascii="맑은 고딕" w:hAnsi="맑은 고딕" w:eastAsia="맑은 고딕" w:cs="맑은 고딕"/>
          <w:color w:val="000000"/>
        </w:rPr>
        <w:br/>
      </w:r>
      <w:r>
        <w:rPr>
          <w:rFonts w:ascii="맑은 고딕" w:hAnsi="맑은 고딕" w:eastAsia="맑은 고딕" w:cs="맑은 고딕"/>
          <w:color w:val="000000"/>
        </w:rPr>
        <w:t>⑪ 이러한 사정들을 앞서 든 법리에 비추어 보면, 원심이 인정한 사실관계만으로 피고가 원고에게 신뢰의 대상이 되는 공적인 견해표명을 하였다고 보기는 어렵다.</w:t>
      </w:r>
      <w:r>
        <w:rPr>
          <w:rFonts w:ascii="맑은 고딕" w:hAnsi="맑은 고딕" w:eastAsia="맑은 고딕" w:cs="맑은 고딕"/>
          <w:color w:val="000000"/>
        </w:rPr>
        <w:br/>
      </w:r>
      <w:r>
        <w:rPr>
          <w:rFonts w:ascii="맑은 고딕" w:hAnsi="맑은 고딕" w:eastAsia="맑은 고딕" w:cs="맑은 고딕"/>
          <w:color w:val="000000"/>
        </w:rPr>
        <w:t>⑫ 그런데도 원심은 이 사건 처분이 신뢰보호원칙에 위배된다고 판단하였다.</w:t>
      </w:r>
      <w:r>
        <w:rPr>
          <w:rFonts w:ascii="맑은 고딕" w:hAnsi="맑은 고딕" w:eastAsia="맑은 고딕" w:cs="맑은 고딕"/>
          <w:color w:val="000000"/>
        </w:rPr>
        <w:br/>
      </w:r>
      <w:r>
        <w:rPr>
          <w:rFonts w:ascii="맑은 고딕" w:hAnsi="맑은 고딕" w:eastAsia="맑은 고딕" w:cs="맑은 고딕"/>
          <w:color w:val="000000"/>
        </w:rPr>
        <w:t>⑬ 이러한 원심판단에는 신뢰보호의 대상이 되는 공적 견해표명에 관한 법리를 오해하여 판결에 영향을 미친 잘못도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[1] 산업집적활성화 및 공장설립에 관한 법률상 산업단지에서 폐기물처리업을 영위하는 내용의 폐기물처리사업계획서가 해당 산업단지의 관리기본계획에 적합하지 않은 경우, 시·도지사는 폐기물관리법 제25조 제2항 제2호를 근거로 폐기물처리사업계획서 부적합 통보를 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[2] 행정청의 행위에 대하여 신뢰보호원칙이 적용되기 위한 요건 및 그중 행정청의 공적 견해표명이 있었는지 판단하는 방법</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제1항</w:t>
            </w:r>
          </w:p>
        </w:tc>
        <w:tc>
          <w:tcPr>
            <w:tcW w:type="pct" w:w="3500"/>
          </w:tcPr>
          <w:p>
            <w:pPr>
              <w:autoSpaceDE w:val="0"/>
              <w:autoSpaceDN w:val="0"/>
            </w:pPr>
            <w:r/>
            <w:r>
              <w:rPr>
                <w:rFonts w:ascii="맑은 고딕" w:hAnsi="맑은 고딕" w:eastAsia="맑은 고딕" w:cs="맑은 고딕"/>
                <w:b w:val="0"/>
                <w:color w:val="000000"/>
                <w:sz w:val="19"/>
              </w:rPr>
              <w:t>① 관리기관은 「산업입지 및 개발에 관한 법률」 제6조, 제7조, 제7조의2부터 제7조의4까지 및 제8조에 따라 산업단지가 지정된 경우에는 산업단지로 관리할 필요가 있는 지역에 대하여 대통령령으로 정하는 바에 따라 산업단지관리기본계획(이하 "관리기본계획"이라 한다)을 수립하여야 한다. 이 경우 관리권자로부터 관리업무를 위임 또는 위탁받은 관리기관은 관리기본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제5항</w:t>
            </w:r>
          </w:p>
        </w:tc>
        <w:tc>
          <w:tcPr>
            <w:tcW w:type="pct" w:w="3500"/>
          </w:tcPr>
          <w:p>
            <w:pPr>
              <w:autoSpaceDE w:val="0"/>
              <w:autoSpaceDN w:val="0"/>
            </w:pPr>
            <w:r/>
            <w:r>
              <w:rPr>
                <w:rFonts w:ascii="맑은 고딕" w:hAnsi="맑은 고딕" w:eastAsia="맑은 고딕" w:cs="맑은 고딕"/>
                <w:b w:val="0"/>
                <w:color w:val="000000"/>
                <w:sz w:val="19"/>
              </w:rPr>
              <w:t>⑤ 해당 산업단지지정권자 및 관계 행정기관의 장이 제4항에서 정한 기간(「민원 처리에 관한 법률」 제20조제2항에 따라 회신기간을 연장한 경우에는 그 연장된 기간을 말한다) 내에 의견을 제출하지 아니하면 협의가 이루어진 것으로 본다.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 제6항</w:t>
            </w:r>
          </w:p>
        </w:tc>
        <w:tc>
          <w:tcPr>
            <w:tcW w:type="pct" w:w="3500"/>
          </w:tcPr>
          <w:p>
            <w:pPr>
              <w:autoSpaceDE w:val="0"/>
              <w:autoSpaceDN w:val="0"/>
            </w:pPr>
            <w:r/>
            <w:r>
              <w:rPr>
                <w:rFonts w:ascii="맑은 고딕" w:hAnsi="맑은 고딕" w:eastAsia="맑은 고딕" w:cs="맑은 고딕"/>
                <w:b w:val="0"/>
                <w:color w:val="000000"/>
                <w:sz w:val="19"/>
              </w:rPr>
              <w:t>⑥ 관리기관ㆍ관리권자 또는 시ㆍ도지사는 관리기본계획을 수립하거나 승인한 경우에는 이를 고시하여야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w:t>
            </w:r>
          </w:p>
        </w:tc>
        <w:tc>
          <w:tcPr>
            <w:tcW w:type="pct" w:w="3500"/>
          </w:tcPr>
          <w:p>
            <w:pPr>
              <w:autoSpaceDE w:val="0"/>
              <w:autoSpaceDN w:val="0"/>
            </w:pPr>
            <w:r/>
            <w:r>
              <w:rPr>
                <w:rFonts w:ascii="맑은 고딕" w:hAnsi="맑은 고딕" w:eastAsia="맑은 고딕" w:cs="맑은 고딕"/>
                <w:b w:val="0"/>
                <w:color w:val="000000"/>
                <w:sz w:val="19"/>
              </w:rPr>
              <w:t>① 산업단지에서 제조업을 하거나 하려는 자는 산업통상부령으로 정하는 바에 따라 관리기관과 그 입주에 관한 계약(이하 "입주계약"이라 한다)을 체결하여야 한다. 다만, 대통령령으로 정하는 경우에는 그러하지 아니하다.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제2항</w:t>
            </w:r>
          </w:p>
        </w:tc>
        <w:tc>
          <w:tcPr>
            <w:tcW w:type="pct" w:w="3500"/>
          </w:tcPr>
          <w:p>
            <w:pPr>
              <w:autoSpaceDE w:val="0"/>
              <w:autoSpaceDN w:val="0"/>
            </w:pPr>
            <w:r/>
            <w:r>
              <w:rPr>
                <w:rFonts w:ascii="맑은 고딕" w:hAnsi="맑은 고딕" w:eastAsia="맑은 고딕" w:cs="맑은 고딕"/>
                <w:b w:val="0"/>
                <w:color w:val="000000"/>
                <w:sz w:val="19"/>
              </w:rPr>
              <w:t>② 입주기업체 및 지원기관이 입주계약사항 중 산업통상부령으로 정하는 사항을 변경하려는 경우에는 새로 변경계약을 체결하여야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제43조 제1항</w:t>
            </w:r>
          </w:p>
        </w:tc>
        <w:tc>
          <w:tcPr>
            <w:tcW w:type="pct" w:w="3500"/>
          </w:tcPr>
          <w:p>
            <w:pPr>
              <w:autoSpaceDE w:val="0"/>
              <w:autoSpaceDN w:val="0"/>
            </w:pPr>
            <w:r/>
            <w:r>
              <w:rPr>
                <w:rFonts w:ascii="맑은 고딕" w:hAnsi="맑은 고딕" w:eastAsia="맑은 고딕" w:cs="맑은 고딕"/>
                <w:b w:val="0"/>
                <w:color w:val="000000"/>
                <w:sz w:val="19"/>
              </w:rPr>
              <w:t>① 관리기관은 법 제33조제8항 본문에 따라 산업시설구역을 다음 각 호의 용도로 세분하여 관리할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제43조 제3항</w:t>
            </w:r>
          </w:p>
        </w:tc>
        <w:tc>
          <w:tcPr>
            <w:tcW w:type="pct" w:w="3500"/>
          </w:tcPr>
          <w:p>
            <w:pPr>
              <w:autoSpaceDE w:val="0"/>
              <w:autoSpaceDN w:val="0"/>
            </w:pPr>
            <w:r/>
            <w:r>
              <w:rPr>
                <w:rFonts w:ascii="맑은 고딕" w:hAnsi="맑은 고딕" w:eastAsia="맑은 고딕" w:cs="맑은 고딕"/>
                <w:b w:val="0"/>
                <w:color w:val="000000"/>
                <w:sz w:val="19"/>
              </w:rPr>
              <w:t>③ 관리기관은 제1항에 따른 산업시설구역에 공장 및 업종을 배치할 때에는 업종 배치계획을 수립한 후 이에 따라 배치하여야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산업집적활성화 및 공장설립에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제48조의2 제4항</w:t>
            </w:r>
          </w:p>
        </w:tc>
        <w:tc>
          <w:tcPr>
            <w:tcW w:type="pct" w:w="3500"/>
          </w:tcPr>
          <w:p>
            <w:pPr>
              <w:autoSpaceDE w:val="0"/>
              <w:autoSpaceDN w:val="0"/>
            </w:pPr>
            <w:r/>
            <w:r>
              <w:rPr>
                <w:rFonts w:ascii="맑은 고딕" w:hAnsi="맑은 고딕" w:eastAsia="맑은 고딕" w:cs="맑은 고딕"/>
                <w:b w:val="0"/>
                <w:color w:val="000000"/>
                <w:sz w:val="19"/>
              </w:rPr>
              <w:t>④ 관리기관이 법 제38조제1항부터 제3항까지의 규정에 따라 입주계약을 체결하려면 법, 이 영, 그 밖에 관련 법령 및 해당 산업단지의 관리기본계획에 적합하여야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산업집적활성화 및 공장설립에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제34조</w:t>
            </w:r>
          </w:p>
        </w:tc>
        <w:tc>
          <w:tcPr>
            <w:tcW w:type="pct" w:w="3500"/>
          </w:tcPr>
          <w:p>
            <w:pPr>
              <w:autoSpaceDE w:val="0"/>
              <w:autoSpaceDN w:val="0"/>
            </w:pPr>
            <w:r/>
            <w:r>
              <w:rPr>
                <w:rFonts w:ascii="맑은 고딕" w:hAnsi="맑은 고딕" w:eastAsia="맑은 고딕" w:cs="맑은 고딕"/>
                <w:b w:val="0"/>
                <w:color w:val="000000"/>
                <w:sz w:val="19"/>
              </w:rPr>
              <w:t>① 법 제38조제1항ㆍ제3항 또는 법 제38조의2제1항에 따라 입주계약을 체결하려는 자는 산업용지 또는 공장 및 건축물과 그 밖의 시설(이하 "공장등"이라 한다)을 취득(분양에 의한 취득하는 경우를 포함한다)하거나 임대받기 전에 미리 별지 제25호서식의 산업단지입주계약 신청서에 별지 제2호의2서식의 사업계획서(입주계약을 체결하려는 자가 임대사업자인 경우에는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산업집적활성화 및 공장설립에 관한 법률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제1항 제2호</w:t>
            </w:r>
          </w:p>
        </w:tc>
        <w:tc>
          <w:tcPr>
            <w:tcW w:type="pct" w:w="3500"/>
          </w:tcPr>
          <w:p>
            <w:pPr>
              <w:autoSpaceDE w:val="0"/>
              <w:autoSpaceDN w:val="0"/>
            </w:pPr>
            <w:r/>
            <w:r>
              <w:rPr>
                <w:rFonts w:ascii="맑은 고딕" w:hAnsi="맑은 고딕" w:eastAsia="맑은 고딕" w:cs="맑은 고딕"/>
                <w:b w:val="0"/>
                <w:color w:val="000000"/>
                <w:sz w:val="19"/>
              </w:rPr>
              <w:t>①법 제38조제2항에서 "산업통상부령으로 정하는 사항"이란 다음 각 호의 사항을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제2호</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w:t>
            </w:r>
          </w:p>
        </w:tc>
        <w:tc>
          <w:tcPr>
            <w:tcW w:type="pct" w:w="3500"/>
          </w:tcPr>
          <w:p>
            <w:pPr>
              <w:autoSpaceDE w:val="0"/>
              <w:autoSpaceDN w:val="0"/>
            </w:pPr>
            <w:r/>
            <w:r>
              <w:rPr>
                <w:rFonts w:ascii="맑은 고딕" w:hAnsi="맑은 고딕" w:eastAsia="맑은 고딕" w:cs="맑은 고딕"/>
                <w:b w:val="0"/>
                <w:color w:val="000000"/>
                <w:sz w:val="19"/>
              </w:rPr>
              <w:t>① 행정청은 공익 또는 제3자의 이익을 현저히 해칠 우려가 있는 경우를 제외하고는 행정에 대한 국민의 정당하고 합리적인 신뢰를 보호하여야 한다. ② 행정청은 권한 행사의 기회가 있음에도 불구하고 장기간 권한을 행사하지 아니하여 국민이 그 권한이 행사되지 아니할 것으로 믿을 만한 정당한 사유가 있는 경우에는 그 권한을 행사해서는 아니 된다. 다만, 공익 또는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행정절차법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제2항</w:t>
            </w:r>
          </w:p>
        </w:tc>
        <w:tc>
          <w:tcPr>
            <w:tcW w:type="pct" w:w="3500"/>
          </w:tcPr>
          <w:p>
            <w:pPr>
              <w:autoSpaceDE w:val="0"/>
              <w:autoSpaceDN w:val="0"/>
            </w:pPr>
            <w:r/>
            <w:r>
              <w:rPr>
                <w:rFonts w:ascii="맑은 고딕" w:hAnsi="맑은 고딕" w:eastAsia="맑은 고딕" w:cs="맑은 고딕"/>
                <w:b w:val="0"/>
                <w:color w:val="000000"/>
                <w:sz w:val="19"/>
              </w:rPr>
              <w:t>② 행정청은 법령등의 해석 또는 행정청의 관행이 일반적으로 국민들에게 받아들여졌을 때에는 공익 또는 제3자의 정당한 이익을 현저히 해칠 우려가 있는 경우를 제외하고는 새로운 해석 또는 관행에 따라 소급하여 불리하게 처리하여서는 아니 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https://www.law.go.kr/판례/(2021두45671)</w:t>
      </w:r>
    </w:p>
    <w:p>
      <w:pPr>
        <w:autoSpaceDE w:val="0"/>
        <w:autoSpaceDN w:val="0"/>
        <w:spacing w:before="80"/>
      </w:pPr>
      <w:r>
        <w:rPr>
          <w:rFonts w:ascii="맑은 고딕" w:hAnsi="맑은 고딕" w:eastAsia="맑은 고딕" w:cs="맑은 고딕"/>
          <w:color w:val="000000"/>
          <w:sz w:val="18"/>
        </w:rPr>
        <w:t>태그  #폐기물판례 #폐기물처리사업계획서 #부적합통보 #행정판례 #대법원판례 #2021년판례 #2021두45671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