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rPr>
        <w:t xml:space="preserve">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제68조의3 제1항</w:t>
            </w:r>
          </w:p>
        </w:tc>
        <w:tc>
          <w:tcPr>
            <w:tcW w:type="pct" w:w="3500"/>
          </w:tcPr>
          <w:p>
            <w:pPr>
              <w:autoSpaceDE w:val="0"/>
              <w:autoSpaceDN w:val="0"/>
            </w:pPr>
            <w:r/>
            <w:r>
              <w:rPr>
                <w:rFonts w:ascii="맑은 고딕" w:hAnsi="맑은 고딕" w:eastAsia="맑은 고딕" w:cs="맑은 고딕"/>
                <w:b w:val="0"/>
                <w:color w:val="000000"/>
                <w:sz w:val="19"/>
              </w:rPr>
              <w:t>① 시ㆍ도지사, 시장ㆍ군수ㆍ구청장 또는 지방환경관서의 장은 법 제48조제1항에 따라 조치명령을 할 때에는 다음 각 호의 사항을 명시한 서면으로 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전자문서가 다음 각 호의 요건을 모두 갖춘 경우에는 그 전자문서를 서면으로 본다. 다만, 다른 법령에 특별한 규정이 있거나 성질상 전자적 형태가 허용되지 아니하는 경우에는 서면으로 보지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제1항</w:t>
            </w:r>
          </w:p>
        </w:tc>
        <w:tc>
          <w:tcPr>
            <w:tcW w:type="pct" w:w="3500"/>
          </w:tcPr>
          <w:p>
            <w:pPr>
              <w:autoSpaceDE w:val="0"/>
              <w:autoSpaceDN w:val="0"/>
            </w:pPr>
            <w:r/>
            <w:r>
              <w:rPr>
                <w:rFonts w:ascii="맑은 고딕" w:hAnsi="맑은 고딕" w:eastAsia="맑은 고딕" w:cs="맑은 고딕"/>
                <w:b w:val="0"/>
                <w:color w:val="000000"/>
                <w:sz w:val="19"/>
              </w:rPr>
              <w:t>① 행정청이 처분을 할 때에는 다른 법령등에 특별한 규정이 있는 경우를 제외하고는 문서로 하여야 하며, 다음 각 호의 어느 하나에 해당하는 경우에는 전자문서로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