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위탁처리와 처리시설 오염물질 이송, 처벌 범위는 어디까지일까요?</w:t>
      </w:r>
    </w:p>
    <w:p>
      <w:pPr>
        <w:pStyle w:val="law1"/>
        <w:autoSpaceDE w:val="0"/>
        <w:autoSpaceDN w:val="0"/>
        <w:spacing w:after="160"/>
      </w:pPr>
      <w:r>
        <w:rPr>
          <w:rFonts w:ascii="맑은 고딕" w:hAnsi="맑은 고딕" w:eastAsia="맑은 고딕" w:cs="맑은 고딕"/>
          <w:color w:val="000000"/>
        </w:rPr>
        <w:t>대법원 2007도5372 (2009.02.12 선고)</w:t>
      </w:r>
    </w:p>
    <w:p>
      <w:pPr>
        <w:autoSpaceDE w:val="0"/>
        <w:autoSpaceDN w:val="0"/>
        <w:spacing w:after="120"/>
      </w:pPr>
      <w:r>
        <w:rPr>
          <w:rFonts w:ascii="맑은 고딕" w:hAnsi="맑은 고딕" w:eastAsia="맑은 고딕" w:cs="맑은 고딕"/>
          <w:color w:val="000000"/>
        </w:rPr>
        <w:t>○ 사업장폐기물 위탁처리 시 처벌대상과, 처리시설 내 오염물질 이송·처리에 대한 배출허용기준 유지의무 등이 문제된 사건입니다. 대법원은 처리 과정에서 오염물질을 다른 처리시설로 이송·처리하는 경우 그 이송 시설에서 배출허용기준 이내로 유지·관리할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처리 과정에서 오염물질을 다른 처리시설로 이송·처리할 때 그 시설의 오염물질도 배출허용기준 이내로 유지해야 하나요?</w:t>
            </w:r>
          </w:p>
          <w:p>
            <w:pPr>
              <w:autoSpaceDE w:val="0"/>
              <w:autoSpaceDN w:val="0"/>
            </w:pPr>
            <w:r>
              <w:rPr>
                <w:rFonts w:ascii="맑은 고딕" w:hAnsi="맑은 고딕" w:eastAsia="맑은 고딕" w:cs="맑은 고딕"/>
                <w:b w:val="0"/>
                <w:color w:val="000000"/>
                <w:sz w:val="19"/>
              </w:rPr>
              <w:t>A. 아니요. 이송·처리하는 시설에서 처리하는 오염물질에 대하여 배출허용기준 이내로 배출되도록 유지·관리할 의무는 없습니다.</w:t>
            </w:r>
          </w:p>
          <w:p>
            <w:pPr>
              <w:autoSpaceDE w:val="0"/>
              <w:autoSpaceDN w:val="0"/>
            </w:pPr>
          </w:p>
          <w:p>
            <w:pPr>
              <w:autoSpaceDE w:val="0"/>
              <w:autoSpaceDN w:val="0"/>
            </w:pPr>
            <w:r>
              <w:rPr>
                <w:rFonts w:ascii="맑은 고딕" w:hAnsi="맑은 고딕" w:eastAsia="맑은 고딕" w:cs="맑은 고딕"/>
                <w:b/>
                <w:color w:val="000000"/>
                <w:sz w:val="19"/>
              </w:rPr>
              <w:t>Q. 배출허용기준을 초과한 음식물자원화시설 처리수를 하수종말처리장으로 배출한 행위가 처벌 대상인가요?</w:t>
            </w:r>
          </w:p>
          <w:p>
            <w:pPr>
              <w:autoSpaceDE w:val="0"/>
              <w:autoSpaceDN w:val="0"/>
            </w:pPr>
            <w:r>
              <w:rPr>
                <w:rFonts w:ascii="맑은 고딕" w:hAnsi="맑은 고딕" w:eastAsia="맑은 고딕" w:cs="맑은 고딕"/>
                <w:b w:val="0"/>
                <w:color w:val="000000"/>
                <w:sz w:val="19"/>
              </w:rPr>
              <w:t>A. 이 사안에서는 구 폐기물관리법 제61조 제14호 위반죄에 해당하지 않는다고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2007도5372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2009.02.12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제2항에 관한 상고이유에 대하여 원심판결 이유에 의하면, 원심은 사업장폐기물배출자는 그의 사업장에서 발생하는 폐기물을 스스로 적정하게 처리하거나 사업장폐기물처리업의 허가를 받은 자에게 위탁 처리하여야 함에도, 피고인이원심공동피고인 1과 공모하여 2002. 12. 23.경 이 사건 위생처리사업소에서 사업장폐기물인 폐플라스틱(바이오콜) 약 24톤을 생활폐기물매립장인 위 위생처리사업소 매립장에 무단으로 매립하여 부적정한 방법으로 사업장폐기물을 처리하였다는 이 부분 공소사실에 대하여, 그 채용 증거를 종합하여 그 판시와 같은 사실을 인정한 다음공소외 주식회사는 폐기물의 수집·운반업 허가만을 받은 업체이며 폐기물을 매립하는 것은 폐기물의 최종 처리에 해당하므로, 위공소외 주식회사가 이 사건 바이오콜을 위 매립장에 매립한 것은 영업범위를 벗어난 행위로서 위법하고, 나아가 관련 법규상 폐합성고분자화합물은 소각하여야 하며 소각이 곤란한 경우에 한해 파쇄·절단 또는 용융한 후 관리형 매립시설에 매립하여야 함에도 바이오콜의 소각이 곤란함을 인정할 별다른 자료도 없을 뿐 아니라, 이 사건에서 피고인 등은 바이오콜을 소각하여 처리하는 방법을 고려하지도 아니한 채 위공소외 주식회사에 위탁하여 사업장 일반폐기물인 바이오콜을 생활쓰레기 매립장인 이 사건 매립장에 매립하였다고 보이므로 피고인의 이러한 행위는구 폐기물관리법(2007. 4. 11. 법률 제8371호로 개정되기 전의 것) 제60조 제2호에 해당된다는 이유로 이 부분 공소사실을 유죄로 인정하였다. 그러나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사업장폐기물배출자가 폐기물을 위탁처리하는 경우구 폐기물관리법 제60조 제2호 위반죄의 처벌대상</w:t>
      </w:r>
      <w:r>
        <w:rPr>
          <w:rFonts w:ascii="맑은 고딕" w:hAnsi="맑은 고딕" w:eastAsia="맑은 고딕" w:cs="맑은 고딕"/>
          <w:color w:val="000000"/>
        </w:rPr>
        <w:br/>
      </w:r>
      <w:r>
        <w:rPr>
          <w:rFonts w:ascii="맑은 고딕" w:hAnsi="맑은 고딕" w:eastAsia="맑은 고딕" w:cs="맑은 고딕"/>
          <w:color w:val="000000"/>
        </w:rPr>
        <w:t>[2] 폐기물처리시설을 설치·운영하는 자가 폐기물을 처리하는 과정에서 수질오염물질 등을 각 처리시설로 이송·처리하는 경우, 그 이송·처리하는 시설에서 처리하는 오염물질에 대하여 배출허용기준 이내로 배출되도록 유지·관리하여야 하는지 여부(소극)</w:t>
      </w:r>
      <w:r>
        <w:rPr>
          <w:rFonts w:ascii="맑은 고딕" w:hAnsi="맑은 고딕" w:eastAsia="맑은 고딕" w:cs="맑은 고딕"/>
          <w:color w:val="000000"/>
        </w:rPr>
        <w:br/>
      </w:r>
      <w:r>
        <w:rPr>
          <w:rFonts w:ascii="맑은 고딕" w:hAnsi="맑은 고딕" w:eastAsia="맑은 고딕" w:cs="맑은 고딕"/>
          <w:color w:val="000000"/>
        </w:rPr>
        <w:t>[3] 구 폐기물관리법 제61조 제14호 위반행위로 처벌하기 위한 요건</w:t>
      </w:r>
      <w:r>
        <w:rPr>
          <w:rFonts w:ascii="맑은 고딕" w:hAnsi="맑은 고딕" w:eastAsia="맑은 고딕" w:cs="맑은 고딕"/>
          <w:color w:val="000000"/>
        </w:rPr>
        <w:br/>
      </w:r>
      <w:r>
        <w:rPr>
          <w:rFonts w:ascii="맑은 고딕" w:hAnsi="맑은 고딕" w:eastAsia="맑은 고딕" w:cs="맑은 고딕"/>
          <w:color w:val="000000"/>
        </w:rPr>
        <w:t>[4] 위생처리사업소에서 배출허용기준을 초과한 음식물자원화시설처리수를 하수종말처리장으로 배출한 행위가구 폐기물관리법 제61조 제14호 위반죄에 해당하지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판단은 수긍할 수 없다.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1. 3. 법률 제8213호로 개정되기 전의 것, 이하 ‘법’이라 한다) 제60조 제2호는 “법 제25조 제1항을 위반하여 사업장폐기물을 처리한 자”를 처벌하도록 규정하고 있고,법 제25조 제1항은 “사업장폐기물배출자는 그의 사업장에서 발생하는 폐기물을 스스로 처리하거나제26조 제3항의 규정에 의한 폐기물처리업의 허가를 받은 자,제44조의2의 규정에 의하여 다른 사람의 폐기물을 재활용하는 자,제4조 또는제5조의 규정에 의한 폐기물처리시설을 설치·운영하는 자 또는해양오염방지법 제18조의 규정에 의하여 폐기물해양배출업의 등록을 한 자에게 위탁하여 처리하여야 한다.”고 규정하고 있으며,법 제24조 제1항 제3호는 “제25조 제1항의 규정에 따라 폐기물의 수집·운반·처리를 위탁하는 경우에 사업장폐기물배출자는 수탁자가제12조의 규정에 의한 기준에 적합하게 폐기물을 수집·운반·처리할 능력이 있는지를 환경부령이 정하는 바에 따라 확인한 후 위탁하여야 한다.</w:t>
      </w:r>
      <w:r>
        <w:rPr>
          <w:rFonts w:ascii="맑은 고딕" w:hAnsi="맑은 고딕" w:eastAsia="맑은 고딕" w:cs="맑은 고딕"/>
          <w:color w:val="000000"/>
        </w:rPr>
        <w:br/>
      </w:r>
      <w:r>
        <w:rPr>
          <w:rFonts w:ascii="맑은 고딕" w:hAnsi="맑은 고딕" w:eastAsia="맑은 고딕" w:cs="맑은 고딕"/>
          <w:color w:val="000000"/>
        </w:rPr>
        <w:t>③ 다만,제4조 또는제5조의 규정에 의한 폐기물처리시설을 설치·운영하는 자에게 위탁하는 경우에는 그러하지 아니하다.”라고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④ 한편,법 제12조는 “누구든지 폐기물을 수집·운반·보관·처리하고자 하는 자는 대통령령이 정하는 기준 및 방법에 의하여야 한다.”고 규정하고 있는바, 이러한 제반 규정들을 종합적으로 고려하여 보면,법 제60조 제2호는 사업장폐기물배출자가 그의 사업장에서 발생하는 폐기물을 스스로 처리하지 않고 위탁처리하는 경우에법 제25조 제1항에 규정된 자 이외의 자에게 위탁하여 처리한 행위를 처벌대상으로 하고 있다고 볼 것이다.</w:t>
      </w:r>
      <w:r>
        <w:rPr>
          <w:rFonts w:ascii="맑은 고딕" w:hAnsi="맑은 고딕" w:eastAsia="맑은 고딕" w:cs="맑은 고딕"/>
          <w:color w:val="000000"/>
        </w:rPr>
        <w:br/>
      </w:r>
      <w:r>
        <w:rPr>
          <w:rFonts w:ascii="맑은 고딕" w:hAnsi="맑은 고딕" w:eastAsia="맑은 고딕" w:cs="맑은 고딕"/>
          <w:color w:val="000000"/>
        </w:rPr>
        <w:t>⑤ 이 부분 공소사실은 피고인이 위 사업소 소장인원심공동피고인 1과 공모하여 위 사업소에서 발생한 사업장폐기물을 스스로 처리하면서 이를 부적정한 방법으로 처리하였다는 취지인바, 이러한 경우라면 그 행위가법 제60조 제1호 또는법 제61조 제1호에 의하여 처벌될 수 있는 여지가 있음은 별론으로 하고법 제60조 제2호에 의하여 처벌될 수는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⑥ 그럼에도 원심이 그 판시와 같은 이유를 들어 이 부분 공소사실을 유죄로 인정하고 말았으니 이러한 원심판결에는법 제60조 제2호에 관한 법리를 오해하여 판결에 영향을 미친 위법이 있다(원심이 폐기물의 수집·운반업 허가만을 받은 업체인공소외 주식회사가 바이오콜을 이 사건 매립장에 매립한 것은 영업범위를 벗어난 행위로서 위법하다고 한 것은 이 부분 공소사실과 다른 사실을 전제로 한 것이므로 그 자체로도 이유 없다). 이 부분 상고이유 주장은 결국 이유 있다.</w:t>
      </w:r>
      <w:r>
        <w:rPr>
          <w:rFonts w:ascii="맑은 고딕" w:hAnsi="맑은 고딕" w:eastAsia="맑은 고딕" w:cs="맑은 고딕"/>
          <w:color w:val="000000"/>
        </w:rPr>
        <w:br/>
      </w:r>
      <w:r>
        <w:rPr>
          <w:rFonts w:ascii="맑은 고딕" w:hAnsi="맑은 고딕" w:eastAsia="맑은 고딕" w:cs="맑은 고딕"/>
          <w:color w:val="000000"/>
        </w:rPr>
        <w:t>⑦ 이 사건 공소사실 제3, 4항에 관한 상고이유에 대하여 원심은 그 채용 증거를 종합하여, 피고인은원심공동피고인 1과 공모하여, ① 2003. 3. 18.경 이 사건 위생처리사업소에서 매립장 침출수를 하수종말처리시설로 이송·처리하면서 하수종말처리시설에서 처리 가능한 오염물질 외의 오염물질인 용해성 철이 16.060㎎/ℓ(배출허용기준 10㎎/ℓ) 가량 함유된 침출수 1,450㎥를 하수종말처리시설로 배출한 것을 비롯하여 그때부터 같은 해 5. 20.경까지 사이에 제1심판결 별지 범죄일람표(1)의 순번 1 내지 2번과 같이 배출허용기준을 초과한 침출수 합계 5,665㎥를 하수종말처리시설로 배출하여 광양만까지 유출되게 함으로써 주변환경을 오염시키고, ② 2004. 1. 14.경 같은 장소에서 매립장 침출수를 하수종말처리시설로 이송·처리하면서 제1심판결 별지 범죄일람표(1)의 순번 3번과 같이 하수종말처리시설에서 처리 가능한 오염물질 외의 오염물질인 용해성 철이 12.445㎎/ℓ(배출허용기준 10㎎/ℓ) 가량 함유된 침출수 858㎥를 하수종말처리시설로 배출하여 광양만까지 유출되게 함으로써 주변환경을 오염시켰다는 공소사실을 유죄로 인정하였고, 피고인에 대한 이 사건 공소사실 중 각 수질환경보전법 위반의 점에 택일적으로 추가된 ③원심공동피고인 1과 공모하여, 폐기물을 처리하는 과정에서 폐수를 배출하는 경우에는 환경부령이 정하는 바에 따라 배출허용기준 이내로 배출되도록 폐기물처리시설을 유지·관리하여야 함에도 불구하고, 2003. 3. 18.경 폐기물처리시설인 음식물쓰레기자원화시설에서 발생한 배출허용기준 초과 폐수 약 70㎥를(소재지 생략)에 있는 위생처리사업소를 통해○○시 하수종말처리장으로 배출하여 주변환경을 오염시킨 것을 비롯하여 그 무렵부터 2003. 7.경까지 제1심판결 별지 범죄일람표(2)의 순번 1 내지 5번과 같이 배출허용기준을 초과한 폐수 합계 약 2,655㎥ 가량을 배출하여 주변환경을 오염시키고, ④ 폐기물을 처리하는 과정에서 폐수를 배출하는 경우에는 환경부령이 정하는 바에 따라 배출허용기준 이내로 배출되도록 폐기물처리시설을 유지·관리하여야 함에도 불구하고, 2003. 8.경 폐기물처리시설인 음식물쓰레기자원화시설에서 발생한 배출허용기준 초과 폐수 약 774㎥를(소재지 생략)에 있는 위생처리사업소를 통해○○시 하수종말처리장으로 배출하여 주변환경을 오염시킨 것을 비롯하여 그 무렵부터 2004. 8.경까지 제1심판결 별지 범죄일람표(2)의 순번 6 내지 18번과 같이 배출허용기준을 초과한 폐수 합계 약 6,938㎥ 가량을 배출하여 주변환경을 오염시켰다는 공소사실을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⑧ 그러나 이 부분 원심판단은 역시 수긍할 수 없다.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폐기물관리법(2007. 1. 3. 법률 제8213호로 개정되기 전의 것)</w:t>
            </w:r>
          </w:p>
        </w:tc>
        <w:tc>
          <w:tcPr>
            <w:tcW w:type="pct" w:w="3400"/>
          </w:tcPr>
          <w:p>
            <w:pPr>
              <w:autoSpaceDE w:val="0"/>
              <w:autoSpaceDN w:val="0"/>
            </w:pPr>
            <w:r/>
            <w:r>
              <w:rPr>
                <w:rFonts w:ascii="맑은 고딕" w:hAnsi="맑은 고딕" w:eastAsia="맑은 고딕" w:cs="맑은 고딕"/>
                <w:b w:val="0"/>
                <w:color w:val="000000"/>
                <w:sz w:val="19"/>
              </w:rPr>
              <w:t>제25조 제1항(현행제18조 제1항 참조), 제60조 제2호(현행제65조 제2호 참조), 제30조의3 제1항(현행제31조 제1항 참조), 제61조 제14호(현행제66조 제13호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 시행규칙(2007. 1. 9. 환경부령 제226호로 개정되기 전의 것)</w:t>
            </w:r>
          </w:p>
        </w:tc>
        <w:tc>
          <w:tcPr>
            <w:tcW w:type="pct" w:w="3400"/>
          </w:tcPr>
          <w:p>
            <w:pPr>
              <w:autoSpaceDE w:val="0"/>
              <w:autoSpaceDN w:val="0"/>
            </w:pPr>
            <w:r/>
            <w:r>
              <w:rPr>
                <w:rFonts w:ascii="맑은 고딕" w:hAnsi="맑은 고딕" w:eastAsia="맑은 고딕" w:cs="맑은 고딕"/>
                <w:b w:val="0"/>
                <w:color w:val="000000"/>
                <w:sz w:val="19"/>
              </w:rPr>
              <w:t>제24조 [별표 8](현행제42조 [별표 11] 참조)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수질환경보전법 시행규칙(2006. 4. 4. 환경부령 제0203호로 전문 개정되기 전의 것)</w:t>
            </w:r>
          </w:p>
        </w:tc>
        <w:tc>
          <w:tcPr>
            <w:tcW w:type="pct" w:w="3400"/>
          </w:tcPr>
          <w:p>
            <w:pPr>
              <w:autoSpaceDE w:val="0"/>
              <w:autoSpaceDN w:val="0"/>
            </w:pPr>
            <w:r/>
            <w:r>
              <w:rPr>
                <w:rFonts w:ascii="맑은 고딕" w:hAnsi="맑은 고딕" w:eastAsia="맑은 고딕" w:cs="맑은 고딕"/>
                <w:b w:val="0"/>
                <w:color w:val="000000"/>
                <w:sz w:val="19"/>
              </w:rPr>
              <w:t>제8조 [별표 5] (현행수질 및 수생태계 보전에 관한 법률 시행규칙 제34조 [별표13] 참조)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https://www.law.go.kr/판례/(2007도5372)</w:t>
      </w:r>
    </w:p>
    <w:p>
      <w:pPr>
        <w:autoSpaceDE w:val="0"/>
        <w:autoSpaceDN w:val="0"/>
        <w:spacing w:before="80"/>
      </w:pPr>
      <w:r>
        <w:rPr>
          <w:rFonts w:ascii="맑은 고딕" w:hAnsi="맑은 고딕" w:eastAsia="맑은 고딕" w:cs="맑은 고딕"/>
          <w:color w:val="000000"/>
          <w:sz w:val="18"/>
        </w:rPr>
        <w:t>태그  #폐기물관리법판례 #형사판례 #대법원판례 #2009년판례 #2007도5372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