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폐기물관리법(2010. 7. 23. 법률 제10389호로 개정되기 전의 것)</w:t>
            </w:r>
          </w:p>
        </w:tc>
        <w:tc>
          <w:tcPr>
            <w:tcW w:type="pct" w:w="3400"/>
          </w:tcPr>
          <w:p>
            <w:pPr>
              <w:autoSpaceDE w:val="0"/>
              <w:autoSpaceDN w:val="0"/>
            </w:pPr>
            <w:r/>
            <w:r>
              <w:rPr>
                <w:rFonts w:ascii="맑은 고딕" w:hAnsi="맑은 고딕" w:eastAsia="맑은 고딕" w:cs="맑은 고딕"/>
                <w:b w:val="0"/>
                <w:color w:val="000000"/>
                <w:sz w:val="19"/>
              </w:rPr>
              <w:t>제67조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제1조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헌법</w:t>
            </w:r>
          </w:p>
        </w:tc>
        <w:tc>
          <w:tcPr>
            <w:tcW w:type="pct" w:w="3400"/>
          </w:tcPr>
          <w:p>
            <w:pPr>
              <w:autoSpaceDE w:val="0"/>
              <w:autoSpaceDN w:val="0"/>
            </w:pPr>
            <w:r/>
            <w:r>
              <w:rPr>
                <w:rFonts w:ascii="맑은 고딕" w:hAnsi="맑은 고딕" w:eastAsia="맑은 고딕" w:cs="맑은 고딕"/>
                <w:b w:val="0"/>
                <w:color w:val="000000"/>
                <w:sz w:val="19"/>
              </w:rPr>
              <w:t>제10조, 제12조 제1항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