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형법</w:t>
            </w:r>
          </w:p>
        </w:tc>
        <w:tc>
          <w:tcPr>
            <w:tcW w:type="pct" w:w="3400"/>
          </w:tcPr>
          <w:p>
            <w:pPr>
              <w:autoSpaceDE w:val="0"/>
              <w:autoSpaceDN w:val="0"/>
            </w:pPr>
            <w:r/>
            <w:r>
              <w:rPr>
                <w:rFonts w:ascii="맑은 고딕" w:hAnsi="맑은 고딕" w:eastAsia="맑은 고딕" w:cs="맑은 고딕"/>
                <w:b w:val="0"/>
                <w:color w:val="000000"/>
                <w:sz w:val="19"/>
              </w:rPr>
              <w:t>제37조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제8조 제2항, 제63조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