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업체로 충분’을 이유로 한 생활폐기물 신규 허가 거부는 재량 남용입니다</w:t>
      </w:r>
    </w:p>
    <w:p>
      <w:pPr>
        <w:pStyle w:val="law1"/>
        <w:autoSpaceDE w:val="0"/>
        <w:autoSpaceDN w:val="0"/>
        <w:spacing w:after="160"/>
      </w:pPr>
      <w:r>
        <w:rPr>
          <w:rFonts w:ascii="맑은 고딕" w:hAnsi="맑은 고딕" w:eastAsia="맑은 고딕" w:cs="맑은 고딕"/>
          <w:color w:val="000000"/>
        </w:rPr>
        <w:t>대법원 2011두12283 (2011.11.10 선고)</w:t>
      </w:r>
    </w:p>
    <w:p>
      <w:pPr>
        <w:autoSpaceDE w:val="0"/>
        <w:autoSpaceDN w:val="0"/>
        <w:spacing w:after="120"/>
      </w:pPr>
      <w:r>
        <w:rPr>
          <w:rFonts w:ascii="맑은 고딕" w:hAnsi="맑은 고딕" w:eastAsia="맑은 고딕" w:cs="맑은 고딕"/>
          <w:color w:val="000000"/>
        </w:rPr>
        <w:t>○ 생활폐기물 수집·운반업 사업계획서에 대해 ‘기존 업체의 인력·장비로 충분하다’는 이유로 부적합 통보를 한 것이 적법한지가 문제된 사건입니다. 대법원은 열거 외 공익 사유로 부적합 통보는 가능하나, 이 사안의 부적합 통보는 재량을 일탈·남용한 위법한 처분이라고 본 원심을 정당하다고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법에 열거된 사항 외의 사유로도 사업계획서 부적합 통보를 할 수 있나요?</w:t>
            </w:r>
          </w:p>
          <w:p>
            <w:pPr>
              <w:autoSpaceDE w:val="0"/>
              <w:autoSpaceDN w:val="0"/>
            </w:pPr>
            <w:r>
              <w:rPr>
                <w:rFonts w:ascii="맑은 고딕" w:hAnsi="맑은 고딕" w:eastAsia="맑은 고딕" w:cs="맑은 고딕"/>
                <w:b w:val="0"/>
                <w:color w:val="000000"/>
                <w:sz w:val="19"/>
              </w:rPr>
              <w:t>A. 네. 공익을 해칠 우려가 있는 경우 등에는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업체의 인력·장비로 충분하다’는 이유로 한 신규 허가 거부는 적법한가요?</w:t>
            </w:r>
          </w:p>
          <w:p>
            <w:pPr>
              <w:autoSpaceDE w:val="0"/>
              <w:autoSpaceDN w:val="0"/>
            </w:pPr>
            <w:r>
              <w:rPr>
                <w:rFonts w:ascii="맑은 고딕" w:hAnsi="맑은 고딕" w:eastAsia="맑은 고딕" w:cs="맑은 고딕"/>
                <w:b w:val="0"/>
                <w:color w:val="000000"/>
                <w:sz w:val="19"/>
              </w:rPr>
              <w:t>A. 이 사안에서는 재량권을 일탈·남용하여 위법하다고 본 원심 판단이 정당하다고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2011두12283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2011.11.10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폐기물처리업 허가에 관한 폐기물처리사업계획서가 적합한지를 심사하면서 구 폐기물관리법 제25조 제2항 각 호에서 열거한 사항 외의 사유로 부적합통보를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부적합통보를 한 사안에서, 처분이 재량권을 일탈·남용하여 위법하다고 본 원심판단을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② 따라서 원심이 이와 달리 그 판시와 같은 사정을 이유로 법 제25조 제2항 각 호의 사유를 제한적으로 정한 것으로 보아, 여기에 열거된 사항 외의 사유, 즉 피고가 부산광역시 강서구 내에서 생활폐기물 발생량 등에 변동이 거의 없을 것으로 예상되고 기존에 허가된 1개의 수집·운반업체가 보유하고 있는 인력과 장비로 충분한 처리가 이루어지고 있어 별도의 신규허가가 어렵다는 것을 사유로 한 이 사건 처분에 대하여 곧바로 적법한 처분사유가 없다고 판단한 것은 적절하지 아니하다.</w:t>
      </w:r>
      <w:r>
        <w:rPr>
          <w:rFonts w:ascii="맑은 고딕" w:hAnsi="맑은 고딕" w:eastAsia="맑은 고딕" w:cs="맑은 고딕"/>
          <w:color w:val="000000"/>
        </w:rPr>
        <w:br/>
      </w:r>
      <w:r>
        <w:rPr>
          <w:rFonts w:ascii="맑은 고딕" w:hAnsi="맑은 고딕" w:eastAsia="맑은 고딕" w:cs="맑은 고딕"/>
          <w:color w:val="000000"/>
        </w:rPr>
        <w:t>③ 그러나 원심은 부가적으로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④ 설사 피고가 폐기물사업처리계획서의 적합 여부를 검토하는 단계에서 법 제25조 제2항 각 호에서 정한 사유 이외의 사정들, 즉 폐기물의 발생량 및 향후 폐기물처리계획, 기존 업체의 처리능력 등을 고려할 수 있다고 하더라도, 폐기물처리사업계획서의 적합 여부를 결정하는 행정청이 관할구역 안에 1개의 폐기물수집·운반업체만이 허가되어 있는 상황에서 새로운 업체가 새로이 허가를 신청하는 경우에, 당해 지방자치단체 내의 폐기물발생량에 비하여 기존 업체의 시설이 과다하여 신규허가를 한다면 업체 사이의 과당경쟁 및 무계획적인 수집·운반으로 인하여 폐기물의 수집·운반에 관한 안정적이고 효율적인 책임행정의 이행이 불가능하게 될 것으로 예상되는 특별한 사정이 있는 경우가 아니고, 또한 법 제25조 제7항 소정의 영업구역 제한 기타 필요한 조건을 붙이더라도 이를 해결할 수 없는 상태가 아닌 한, 기존의 업체만으로도 폐기물의 수집·운반 등에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위법하다는 것이다.</w:t>
      </w:r>
      <w:r>
        <w:rPr>
          <w:rFonts w:ascii="맑은 고딕" w:hAnsi="맑은 고딕" w:eastAsia="맑은 고딕" w:cs="맑은 고딕"/>
          <w:color w:val="000000"/>
        </w:rPr>
        <w:br/>
      </w:r>
      <w:r>
        <w:rPr>
          <w:rFonts w:ascii="맑은 고딕" w:hAnsi="맑은 고딕" w:eastAsia="맑은 고딕" w:cs="맑은 고딕"/>
          <w:color w:val="000000"/>
        </w:rPr>
        <w:t>⑤ 나아가 원심은 그 채용 증거를 종합하여 판시와 같은 사실을 인정한 다음, 피고가 원고나 다른 업체에 대하여 신규로 생활폐기물수집·운반업을 허가한다면 일시적으로 시설의 공급과잉현상이 나타나 피고보조참가인(이하 ‘참가인’)에게 어느 정도의 손해 발생이 예상되지만 신규허가로 인하여 업체의 난립 및 과당경쟁으로 기존 생활폐기물수집·운반의 질서가 파괴될 정도에 이른다고 볼 수 없고, 나아가 이 사건 처분 당시 참가인의 1일 생활폐기물수집·운반능력이 부산광역시 강서구의 1일 생활폐기물배출량을 훨씬 능가하게 된 데에는 종전에 신규 업체가 피고로부터 생활폐기물의 수집·운반업 허가를 위한 사업계획서의 반려처분을 받고 그 취소를 구하는 행정소송을 제기하였다가 패소한 후에 참가인이 폐기물의 수집·운반 차량을 대폭 늘린 데에도 그 원인이 있으므로 이러한 사정을 고려하지 아니한 채 참가인의 생활폐기물수집·운반능력이 생활폐기물배출량보다 많다는 이유로 신규업체의 시장진입을 허용하지 아니하는 것은 사실상 기존업체에게 독점적 대행권을 유지하는 결과가 된다는 등 그 판시와 같은 이유로 이 사건 처분이 재량권을 일탈·남용하여 위법하다고 보았다.</w:t>
      </w:r>
      <w:r>
        <w:rPr>
          <w:rFonts w:ascii="맑은 고딕" w:hAnsi="맑은 고딕" w:eastAsia="맑은 고딕" w:cs="맑은 고딕"/>
          <w:color w:val="000000"/>
        </w:rPr>
        <w:br/>
      </w:r>
      <w:r>
        <w:rPr>
          <w:rFonts w:ascii="맑은 고딕" w:hAnsi="맑은 고딕" w:eastAsia="맑은 고딕" w:cs="맑은 고딕"/>
          <w:color w:val="000000"/>
        </w:rPr>
        <w:t>⑥ 관련 법리에 비추어 기록을 살펴보면, 원심의 위와 같은 판단은 정당한 것으로 수긍할 수 있고, 거기에 상고이유로 주장하는 바와 같이 폐기물처리사업계획서의 적합성 판단에 관련하여 재량권의 범위 등에 관한 법리를 오해하는 등의 위법이 있다고 할 수 없다.</w:t>
      </w:r>
      <w:r>
        <w:rPr>
          <w:rFonts w:ascii="맑은 고딕" w:hAnsi="맑은 고딕" w:eastAsia="맑은 고딕" w:cs="맑은 고딕"/>
          <w:color w:val="000000"/>
        </w:rPr>
        <w:br/>
      </w:r>
      <w:r>
        <w:rPr>
          <w:rFonts w:ascii="맑은 고딕" w:hAnsi="맑은 고딕" w:eastAsia="맑은 고딕" w:cs="맑은 고딕"/>
          <w:color w:val="000000"/>
        </w:rPr>
        <w:t>⑦ 따라서 이 사건 처분이 위법하다고 본 원심의 판단이 결론에 있어서 정당한 이상, 결국 상고이유의 주장은 받아들일 수 없다.</w:t>
      </w:r>
      <w:r>
        <w:rPr>
          <w:rFonts w:ascii="맑은 고딕" w:hAnsi="맑은 고딕" w:eastAsia="맑은 고딕" w:cs="맑은 고딕"/>
          <w:color w:val="000000"/>
        </w:rPr>
        <w:br/>
      </w:r>
      <w:r>
        <w:rPr>
          <w:rFonts w:ascii="맑은 고딕" w:hAnsi="맑은 고딕" w:eastAsia="맑은 고딕" w:cs="맑은 고딕"/>
          <w:color w:val="000000"/>
        </w:rPr>
        <w:t>⑧ 그러므로 상고를 모두 기각하고 상고비용은 보조참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구 폐기물관리법(2010. 7. 23. 법률 제10389호로 개정되기 전의 것, 이하 ‘법’이라 한다)의 입법목적과 규정사항, 폐기물처리업 허가의 성격, 사업계획서적합통보제도의 취지와 함께 폐기물의 원활하고 적정한 처리라는 공익을 책임지고 실현하기 위한 행정의 합목적성 등을 종합하여 볼 때, 폐기물처리사업계획서의 적합 여부를 심사함에 있어서 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부적합통보를 할 수 있다고 볼 것이다.</w:t>
      </w:r>
      <w:r>
        <w:rPr>
          <w:rFonts w:ascii="맑은 고딕" w:hAnsi="맑은 고딕" w:eastAsia="맑은 고딕" w:cs="맑은 고딕"/>
          <w:color w:val="000000"/>
        </w:rPr>
        <w:br/>
      </w:r>
      <w:r>
        <w:rPr>
          <w:rFonts w:ascii="맑은 고딕" w:hAnsi="맑은 고딕" w:eastAsia="맑은 고딕" w:cs="맑은 고딕"/>
          <w:color w:val="000000"/>
        </w:rPr>
        <w:t>[2] 甲 주식회사가 제출한 생활폐기물수집·운반업을 위한 폐기물처리사업계획서에 대하여, 관할 구청장이 기존 업체가 보유하고 있는 인력과 장비로 충분한 처리가 이루어지고 있어서 별도의 신규허가가 어렵다는 사유로 부적합하다는 통보를 한 사안에서, 원심이 구 폐기물관리법(2010. 7. 23. 법률 제10389호로 개정되기 전의 것) 제25조 제2항 각 호의 사유를 제한적인 것으로 보아 여기에 열거된 사항 외의 것을 사유로 한 위 처분에 대하여 곧바로 적법한 처분사유가 없다고 본 것은 적절하지 않지만, 부가적으로 관할 구청장이 甲 회사나 다른 업체에 신규로 생활폐기물수집·운반업을 허가한다면 일시적으로 시설의 공급과잉현상이 나타나 기존 업체에 어느 정도의 손해 발생이 예상되나 이로 인하여 업체 난립 및 과당경쟁으로 기존 생활폐기물수집·운반 질서가 파괴될 정도에 이른다고 할 수 없고, 처분 당시 기존 업체의 1일 생활폐기물수집·운반능력이 대상 영업구역의 1일 생활폐기물배출량을 훨씬 능가하게 된 데에는 기존 업체가 폐기물의 수집·운반차량을 대폭 늘린 데에도 원인이 있으므로 이를 고려하지 않은 채 기존 업체의 생활폐기물수집·운반능력이 생활폐기물배출량보다 많다며 신규 업체의 시장진입을 허용하지 아니하는 것은 사실상 기존 업체에 독점적 대행권을 유지하는 결과가 된다는 등의 이유로 위 처분이 재량권을 일탈·남용하여 위법하다고 본 것은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폐기물관리법(2010. 7. 23. 법률 제10389호로 개정되기 전의 것)</w:t>
            </w:r>
          </w:p>
        </w:tc>
        <w:tc>
          <w:tcPr>
            <w:tcW w:type="pct" w:w="3400"/>
          </w:tcPr>
          <w:p>
            <w:pPr>
              <w:autoSpaceDE w:val="0"/>
              <w:autoSpaceDN w:val="0"/>
            </w:pPr>
            <w:r/>
            <w:r>
              <w:rPr>
                <w:rFonts w:ascii="맑은 고딕" w:hAnsi="맑은 고딕" w:eastAsia="맑은 고딕" w:cs="맑은 고딕"/>
                <w:b w:val="0"/>
                <w:color w:val="000000"/>
                <w:sz w:val="19"/>
              </w:rPr>
              <w:t>제1조, 제4조 제1항, 제2항, 제14조 제1항 제2항, 제25조 제2항, 제3항, 제4항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구 폐기물관리법 시행규칙(2011. 9. 27. 환경부령 제422호로 개정되기 전의 것)</w:t>
            </w:r>
          </w:p>
        </w:tc>
        <w:tc>
          <w:tcPr>
            <w:tcW w:type="pct" w:w="3400"/>
          </w:tcPr>
          <w:p>
            <w:pPr>
              <w:autoSpaceDE w:val="0"/>
              <w:autoSpaceDN w:val="0"/>
            </w:pPr>
            <w:r/>
            <w:r>
              <w:rPr>
                <w:rFonts w:ascii="맑은 고딕" w:hAnsi="맑은 고딕" w:eastAsia="맑은 고딕" w:cs="맑은 고딕"/>
                <w:b w:val="0"/>
                <w:color w:val="000000"/>
                <w:sz w:val="19"/>
              </w:rPr>
              <w:t>제28조 제1항, 제2항, 제3항, 제4항, 제5항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https://www.law.go.kr/판례/(2011두12283)</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#2011년판례 #2011두12283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