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생활폐기물 대행 용역비 반납 특약, 사법상 계약 원리로 판단합니다</w:t>
      </w:r>
    </w:p>
    <w:p>
      <w:pPr>
        <w:pStyle w:val="law1"/>
        <w:autoSpaceDE w:val="0"/>
        <w:autoSpaceDN w:val="0"/>
        <w:spacing w:after="160"/>
      </w:pPr>
      <w:r>
        <w:rPr>
          <w:rFonts w:ascii="맑은 고딕" w:hAnsi="맑은 고딕" w:eastAsia="맑은 고딕" w:cs="맑은 고딕"/>
          <w:color w:val="000000"/>
        </w:rPr>
        <w:t>대법원 2014두11328 (2018.02.13 선고)</w:t>
      </w:r>
    </w:p>
    <w:p>
      <w:pPr>
        <w:autoSpaceDE w:val="0"/>
        <w:autoSpaceDN w:val="0"/>
        <w:spacing w:after="120"/>
      </w:pPr>
      <w:r>
        <w:rPr>
          <w:rFonts w:ascii="맑은 고딕" w:hAnsi="맑은 고딕" w:eastAsia="맑은 고딕" w:cs="맑은 고딕"/>
          <w:color w:val="000000"/>
        </w:rPr>
        <w:t>○ 생활폐기물 수집·운반 대행 용역비 반납 처분을 둘러싸고, 지방자치단체 공공계약의 성격과 계약특수조건의 효력이 문제된 사건입니다. 대법원은 공공계약은 사법상 계약이므로 계약자유 원칙이 적용되고, 부당하게 제한하는 특약이 아니면 유효하다고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지방자치단체가 맺는 생활폐기물 대행 공공계약에는 어떤 원리가 적용되나요?</w:t>
            </w:r>
          </w:p>
          <w:p>
            <w:pPr>
              <w:autoSpaceDE w:val="0"/>
              <w:autoSpaceDN w:val="0"/>
            </w:pPr>
            <w:r>
              <w:rPr>
                <w:rFonts w:ascii="맑은 고딕" w:hAnsi="맑은 고딕" w:eastAsia="맑은 고딕" w:cs="맑은 고딕"/>
                <w:b w:val="0"/>
                <w:color w:val="000000"/>
                <w:sz w:val="19"/>
              </w:rPr>
              <w:t>A. 사경제 주체로서 대등하게 맺는 사법상 계약이므로, 특별한 정함이 없는 한 사적 자치와 계약자유 원칙이 그대로 적용됩니다.</w:t>
            </w:r>
          </w:p>
          <w:p>
            <w:pPr>
              <w:autoSpaceDE w:val="0"/>
              <w:autoSpaceDN w:val="0"/>
            </w:pPr>
          </w:p>
          <w:p>
            <w:pPr>
              <w:autoSpaceDE w:val="0"/>
              <w:autoSpaceDN w:val="0"/>
            </w:pPr>
            <w:r>
              <w:rPr>
                <w:rFonts w:ascii="맑은 고딕" w:hAnsi="맑은 고딕" w:eastAsia="맑은 고딕" w:cs="맑은 고딕"/>
                <w:b/>
                <w:color w:val="000000"/>
                <w:sz w:val="19"/>
              </w:rPr>
              <w:t>Q. 대행계약에 용역비 반납 같은 계약특수조건을 붙일 수 있나요?</w:t>
            </w:r>
          </w:p>
          <w:p>
            <w:pPr>
              <w:autoSpaceDE w:val="0"/>
              <w:autoSpaceDN w:val="0"/>
            </w:pPr>
            <w:r>
              <w:rPr>
                <w:rFonts w:ascii="맑은 고딕" w:hAnsi="맑은 고딕" w:eastAsia="맑은 고딕" w:cs="맑은 고딕"/>
                <w:b w:val="0"/>
                <w:color w:val="000000"/>
                <w:sz w:val="19"/>
              </w:rPr>
              <w:t>A. 네. 원칙적으로 가능하며, 계약상대방의 이익을 부당하게 제한하는 특약에 해당하지 않는 한 효력이 있습니다.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2014두11328</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2018.02.13</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rPr>
        <w:t>[1] 지방자치단체가 일방 당사자가 되는 이른바 ‘공공계약’이 사경제의 주체로서 상대방과 대등한 위치에서 체결하는 사법상 계약에 해당하는 경우, 사적 자치와 계약자유의 원칙 등 사법의 원리가 적용되는지 여부(원칙적 적극)</w:t>
      </w:r>
      <w:r>
        <w:rPr>
          <w:rFonts w:ascii="맑은 고딕" w:hAnsi="맑은 고딕" w:eastAsia="맑은 고딕" w:cs="맑은 고딕"/>
          <w:color w:val="000000"/>
        </w:rPr>
        <w:br/>
      </w:r>
      <w:r>
        <w:rPr>
          <w:rFonts w:ascii="맑은 고딕" w:hAnsi="맑은 고딕" w:eastAsia="맑은 고딕" w:cs="맑은 고딕"/>
          <w:color w:val="000000"/>
        </w:rPr>
        <w:t>[2] 민사사건을 행정소송 절차로 진행한 경우, 그 자체로 위법한지 여부(원칙적 소극)</w:t>
      </w:r>
      <w:r>
        <w:rPr>
          <w:rFonts w:ascii="맑은 고딕" w:hAnsi="맑은 고딕" w:eastAsia="맑은 고딕" w:cs="맑은 고딕"/>
          <w:color w:val="000000"/>
        </w:rPr>
        <w:br/>
      </w:r>
      <w:r>
        <w:rPr>
          <w:rFonts w:ascii="맑은 고딕" w:hAnsi="맑은 고딕" w:eastAsia="맑은 고딕" w:cs="맑은 고딕"/>
          <w:color w:val="000000"/>
        </w:rPr>
        <w:t>[3] 지방자치단체가 계약의 적정한 이행을 위하여 계약상대방과의 계약에 근거하여 계약당사자 사이에 효력이 있는 계약특수조건 등을 부가하는 것이 금지되거나 제한되는지 여부(원칙적 소극) / 구 지방자치단체를 당사자로 하는 계약에 관한 법률 제6조 제1항에서 금지하는 계약상대방의 계약상 이익을 부당하게 제한하는 특약에 해당하기 위한 요건 및 그러한 특약인지 판단하는 기준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쳐 이 사건 변경계약의 사후정산조항의 추가 여부에 관하여 협의를 하였다. ② 위 계약 체결을 위한 협의 과정에서 그 내용이 수정되었다. ③ 이 사건 변경계약 이후 피고는 원고들로부터 사후정산의 근거가 되는 증빙자료를 제출받아 외부용역기관인 사단법인 경남경영경제연구원에 정산검사를 의뢰하였다.</w:t>
      </w:r>
      <w:r>
        <w:rPr>
          <w:rFonts w:ascii="맑은 고딕" w:hAnsi="맑은 고딕" w:eastAsia="맑은 고딕" w:cs="맑은 고딕"/>
          <w:color w:val="000000"/>
        </w:rPr>
        <w:br/>
      </w:r>
      <w:r>
        <w:rPr>
          <w:rFonts w:ascii="맑은 고딕" w:hAnsi="맑은 고딕" w:eastAsia="맑은 고딕" w:cs="맑은 고딕"/>
          <w:color w:val="000000"/>
        </w:rPr>
        <w:t>② 위와 같은 사실에 따르면, 원고들과 피고는 협의를 거쳐 이 사건 정산조항이 포함된 이 사건 변경계약을 체결한 것으로 볼 수 있고, 그 문언에 따라 정산의무를 부담하는 것으로 해석함이 타당하다.</w:t>
      </w:r>
      <w:r>
        <w:rPr>
          <w:rFonts w:ascii="맑은 고딕" w:hAnsi="맑은 고딕" w:eastAsia="맑은 고딕" w:cs="맑은 고딕"/>
          <w:color w:val="000000"/>
        </w:rPr>
        <w:br/>
      </w:r>
      <w:r>
        <w:rPr>
          <w:rFonts w:ascii="맑은 고딕" w:hAnsi="맑은 고딕" w:eastAsia="맑은 고딕" w:cs="맑은 고딕"/>
          <w:color w:val="000000"/>
        </w:rPr>
        <w:t>③ 이 사건 정산조항이 정산 후 차액반환의무를 배제한 채 단순히 대행료 원가를 검증할 수 있는 자료제출 의무와 검증권한만을 정한 것으로 볼 만한 사정이 없다.</w:t>
      </w:r>
      <w:r>
        <w:rPr>
          <w:rFonts w:ascii="맑은 고딕" w:hAnsi="맑은 고딕" w:eastAsia="맑은 고딕" w:cs="맑은 고딕"/>
          <w:color w:val="000000"/>
        </w:rPr>
        <w:br/>
      </w:r>
      <w:r>
        <w:rPr>
          <w:rFonts w:ascii="맑은 고딕" w:hAnsi="맑은 고딕" w:eastAsia="맑은 고딕" w:cs="맑은 고딕"/>
          <w:color w:val="000000"/>
        </w:rPr>
        <w:t>④ 구 지방계약법 시행령 제89조 제1항은 "지방자치단체의 장 또는 계약담당자는 입찰 전에 예정가격을 구성하는 일부 비목별 금액을 결정할 수 없는 경우에는 사후 원가검토를 조건으로 계약을 체결할 수 있다."라고 정하고 있다.</w:t>
      </w:r>
      <w:r>
        <w:rPr>
          <w:rFonts w:ascii="맑은 고딕" w:hAnsi="맑은 고딕" w:eastAsia="맑은 고딕" w:cs="맑은 고딕"/>
          <w:color w:val="000000"/>
        </w:rPr>
        <w:br/>
      </w:r>
      <w:r>
        <w:rPr>
          <w:rFonts w:ascii="맑은 고딕" w:hAnsi="맑은 고딕" w:eastAsia="맑은 고딕" w:cs="맑은 고딕"/>
          <w:color w:val="000000"/>
        </w:rPr>
        <w:t>⑤ 이 규정은 입찰 절차에 따른 계약 체결을 전제로 하고 있으므로 수의계약 형식으로 체결된 이 사건 변경계약에 그대로 적용되지 않는다.</w:t>
      </w:r>
      <w:r>
        <w:rPr>
          <w:rFonts w:ascii="맑은 고딕" w:hAnsi="맑은 고딕" w:eastAsia="맑은 고딕" w:cs="맑은 고딕"/>
          <w:color w:val="000000"/>
        </w:rPr>
        <w:br/>
      </w:r>
      <w:r>
        <w:rPr>
          <w:rFonts w:ascii="맑은 고딕" w:hAnsi="맑은 고딕" w:eastAsia="맑은 고딕" w:cs="맑은 고딕"/>
          <w:color w:val="000000"/>
        </w:rPr>
        <w:t>⑥ 또한 그 문언의 내용과 규정 형식에 비추어 일정한 경우에 사후 원가검토 조건부 계약을 체결할 수 있다는 것이지, 그와 다른 경우에 사후 원가검토 조건부 계약의 체결을 금지하거나 지방자치단체가 지방계약법령에 따라 체결한 계약의 적정한 이행을 위하여 계약상대방과의 합의에 따라 특약을 정하는 것을 금지하거나 제한하는 것이 아니다.</w:t>
      </w:r>
      <w:r>
        <w:rPr>
          <w:rFonts w:ascii="맑은 고딕" w:hAnsi="맑은 고딕" w:eastAsia="맑은 고딕" w:cs="맑은 고딕"/>
          <w:color w:val="000000"/>
        </w:rPr>
        <w:br/>
      </w:r>
      <w:r>
        <w:rPr>
          <w:rFonts w:ascii="맑은 고딕" w:hAnsi="맑은 고딕" w:eastAsia="맑은 고딕" w:cs="맑은 고딕"/>
          <w:color w:val="000000"/>
        </w:rPr>
        <w:t>⑦ 오히려 지방계약법령에 계약금액이 총액으로 정해진 계약에 대하여 정산조항을 둘 수 없다는 명시적인 규정이 없으므로, 사적 자치와 계약자유의 원칙에 따라 구 지방계약법 제6조 제1항에 위반되는 등의 특별한 사정이 없는 한 이 사건 정산조항의 효력을 함부로 부인해서는 안 된다.</w:t>
      </w:r>
      <w:r>
        <w:rPr>
          <w:rFonts w:ascii="맑은 고딕" w:hAnsi="맑은 고딕" w:eastAsia="맑은 고딕" w:cs="맑은 고딕"/>
          <w:color w:val="000000"/>
        </w:rPr>
        <w:br/>
      </w:r>
      <w:r>
        <w:rPr>
          <w:rFonts w:ascii="맑은 고딕" w:hAnsi="맑은 고딕" w:eastAsia="맑은 고딕" w:cs="맑은 고딕"/>
          <w:color w:val="000000"/>
        </w:rPr>
        <w:t>⑧ 적법하게 채택한 증거와 기록에 따라 인정되는 아래와 같은 이 사건 변경계약의 체결 동기와 경위, 계약체결과정, 변경된 내용 등을 종합하면, 이 사건 변경계약에 포함된 이 사건 정산조항이 계약상대방인 원고들에게 다소 불이익하다고 하더라도 원고들의 계약상 이익을 부당하게 제한하는 특약에 해당한다거나 선량한 풍속 기타 사회질서에 반하는 것에 해당한다고 보기 어렵다.</w:t>
      </w:r>
      <w:r>
        <w:rPr>
          <w:rFonts w:ascii="맑은 고딕" w:hAnsi="맑은 고딕" w:eastAsia="맑은 고딕" w:cs="맑은 고딕"/>
          <w:color w:val="000000"/>
        </w:rPr>
        <w:br/>
      </w:r>
      <w:r>
        <w:rPr>
          <w:rFonts w:ascii="맑은 고딕" w:hAnsi="맑은 고딕" w:eastAsia="맑은 고딕" w:cs="맑은 고딕"/>
          <w:color w:val="000000"/>
        </w:rPr>
        <w:t>⑨ (가) 원고들과 피고는 이 사건 최초계약 전부터 가로 청소, 음식물류 폐기물의 수집·운반, 재활용품의 수집·운반 등의 업무에 관해 수의계약 형식으로 용역계약을 체결하여 업무를 대행하였는데, 2009년과 2010년 경상남도에서 종합감사를 한 결과 민간대행(위탁) 사업과 관련하여 예산낭비와 민간대행료의 횡령 등 계약 체결과 집행 과정에서 의혹이 제기되었다.</w:t>
      </w:r>
      <w:r>
        <w:rPr>
          <w:rFonts w:ascii="맑은 고딕" w:hAnsi="맑은 고딕" w:eastAsia="맑은 고딕" w:cs="맑은 고딕"/>
          <w:color w:val="000000"/>
        </w:rPr>
        <w:br/>
      </w:r>
      <w:r>
        <w:rPr>
          <w:rFonts w:ascii="맑은 고딕" w:hAnsi="맑은 고딕" w:eastAsia="맑은 고딕" w:cs="맑은 고딕"/>
          <w:color w:val="000000"/>
        </w:rPr>
        <w:t>⑩ 이에 따라 피고는 민간대행계약의 공정성과 객관성을 확보하기 위한 사후정산 필요성이 있어 원고들에게 이 사건 변경계약을 제의한 것으로 보이므로, 이 사건 변경계약을 체결하기 위한 목적의 정당성이 인정된다.</w:t>
      </w:r>
      <w:r>
        <w:rPr>
          <w:rFonts w:ascii="맑은 고딕" w:hAnsi="맑은 고딕" w:eastAsia="맑은 고딕" w:cs="맑은 고딕"/>
          <w:color w:val="000000"/>
        </w:rPr>
        <w:br/>
      </w:r>
      <w:r>
        <w:rPr>
          <w:rFonts w:ascii="맑은 고딕" w:hAnsi="맑은 고딕" w:eastAsia="맑은 고딕" w:cs="맑은 고딕"/>
          <w:color w:val="000000"/>
        </w:rPr>
        <w:t>⑪ (나) 이 사건 정산조항은 계약 만료 후에 원가검토를 할 수 있는 기준이 이미 설정되어 있었고 사후정산도 ‘원가검토 전문 용역기관’을 통해 하기로 하는 등 정산기준과 정산절차가 갖추어져 있었다.</w:t>
      </w:r>
      <w:r>
        <w:rPr>
          <w:rFonts w:ascii="맑은 고딕" w:hAnsi="맑은 고딕" w:eastAsia="맑은 고딕" w:cs="맑은 고딕"/>
          <w:color w:val="000000"/>
        </w:rPr>
        <w:br/>
      </w:r>
      <w:r>
        <w:rPr>
          <w:rFonts w:ascii="맑은 고딕" w:hAnsi="맑은 고딕" w:eastAsia="맑은 고딕" w:cs="맑은 고딕"/>
          <w:color w:val="000000"/>
        </w:rPr>
        <w:t>⑫ 따라서 이 사건 정산조항의 내용이나 절차가 원고들의 계약상 이익을 부당하게 제한한다고 보기 어렵다.</w:t>
      </w:r>
      <w:r>
        <w:rPr>
          <w:rFonts w:ascii="맑은 고딕" w:hAnsi="맑은 고딕" w:eastAsia="맑은 고딕" w:cs="맑은 고딕"/>
          <w:color w:val="000000"/>
        </w:rPr>
        <w:br/>
      </w:r>
      <w:r>
        <w:rPr>
          <w:rFonts w:ascii="맑은 고딕" w:hAnsi="맑은 고딕" w:eastAsia="맑은 고딕" w:cs="맑은 고딕"/>
          <w:color w:val="000000"/>
        </w:rPr>
        <w:t>⑬ 그런데도 원심은 이와 달리 원고들과 피고가 이 사건 정산조항에 따라 그 차액을 지급할 의무나 이를 청구할 권리가 없다고 판단하였다.</w:t>
      </w:r>
      <w:r>
        <w:rPr>
          <w:rFonts w:ascii="맑은 고딕" w:hAnsi="맑은 고딕" w:eastAsia="맑은 고딕" w:cs="맑은 고딕"/>
          <w:color w:val="000000"/>
        </w:rPr>
        <w:br/>
      </w:r>
      <w:r>
        <w:rPr>
          <w:rFonts w:ascii="맑은 고딕" w:hAnsi="맑은 고딕" w:eastAsia="맑은 고딕" w:cs="맑은 고딕"/>
          <w:color w:val="000000"/>
        </w:rPr>
        <w:t>⑭ 원심의 판단에는 계약의 해석과 구 지방계약법 제6조 제1항에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⑮ 이 점에 관한 피고의 상고이유 주장은 정당하다.</w:t>
      </w:r>
      <w:r>
        <w:rPr>
          <w:rFonts w:ascii="맑은 고딕" w:hAnsi="맑은 고딕" w:eastAsia="맑은 고딕" w:cs="맑은 고딕"/>
          <w:color w:val="000000"/>
        </w:rPr>
        <w:br/>
      </w:r>
      <w:r>
        <w:rPr>
          <w:rFonts w:ascii="맑은 고딕" w:hAnsi="맑은 고딕" w:eastAsia="맑은 고딕" w:cs="맑은 고딕"/>
          <w:color w:val="000000"/>
        </w:rPr>
        <w:t>⑯ 피고의 상고는 이유 있으므로 원심판결 중 피고에 대한 부분을 파기하고, 이 부분 사건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판결요지</w:t>
      </w:r>
    </w:p>
    <w:p>
      <w:pPr>
        <w:autoSpaceDE w:val="0"/>
        <w:autoSpaceDN w:val="0"/>
      </w:pPr>
      <w:r>
        <w:rPr>
          <w:rFonts w:ascii="맑은 고딕" w:hAnsi="맑은 고딕" w:eastAsia="맑은 고딕" w:cs="맑은 고딕"/>
          <w:color w:val="000000"/>
        </w:rPr>
        <w:t>[1] 지방자치단체가 일방 당사자가 되는 이른바 ‘공공계약’이 사경제의 주체로서 상대방과 대등한 위치에서 체결하는 사법상 계약에 해당하는 경우 그에 관한 법령에 특별한 정함이 있는 경우를 제외하고는 사적 자치와 계약자유의 원칙 등 사법의 원리가 그대로 적용된다.</w:t>
      </w:r>
      <w:r>
        <w:rPr>
          <w:rFonts w:ascii="맑은 고딕" w:hAnsi="맑은 고딕" w:eastAsia="맑은 고딕" w:cs="맑은 고딕"/>
          <w:color w:val="000000"/>
        </w:rPr>
        <w:br/>
      </w:r>
      <w:r>
        <w:rPr>
          <w:rFonts w:ascii="맑은 고딕" w:hAnsi="맑은 고딕" w:eastAsia="맑은 고딕" w:cs="맑은 고딕"/>
          <w:color w:val="000000"/>
        </w:rPr>
        <w:t>[2] 행정사건의 심리절차는 행정소송의 특수성을 감안하여 행정소송법이 정하고 있는 특칙이 적용될 수 있는 점을 제외하면 심리절차 면에서 민사소송 절차와 큰 차이가 없으므로, 특별한 사정이 없는 한 민사사건을 행정소송 절차로 진행한 것 자체가 위법하다고 볼 수 없다.</w:t>
      </w:r>
      <w:r>
        <w:rPr>
          <w:rFonts w:ascii="맑은 고딕" w:hAnsi="맑은 고딕" w:eastAsia="맑은 고딕" w:cs="맑은 고딕"/>
          <w:color w:val="000000"/>
        </w:rPr>
        <w:br/>
      </w:r>
      <w:r>
        <w:rPr>
          <w:rFonts w:ascii="맑은 고딕" w:hAnsi="맑은 고딕" w:eastAsia="맑은 고딕" w:cs="맑은 고딕"/>
          <w:color w:val="000000"/>
        </w:rPr>
        <w:t>[3] 지방자치단체가 계약의 적정한 이행을 위하여 계약상대방과의 계약에 근거하여 계약당사자 사이에 효력이 있는 계약특수조건 등을 부가하는 것이 금지되거나 제한된다고 할 이유는 없고, 사적 자치와 계약자유의 원칙상 관련 법령에 이를 금지하거나 제한하는 내용이 없는데도 그러한 계약내용이나 조치의 효력을 함부로 부인할 것은 아니다.</w:t>
      </w:r>
      <w:r>
        <w:rPr>
          <w:rFonts w:ascii="맑은 고딕" w:hAnsi="맑은 고딕" w:eastAsia="맑은 고딕" w:cs="맑은 고딕"/>
          <w:color w:val="000000"/>
        </w:rPr>
        <w:br/>
      </w:r>
      <w:r>
        <w:rPr>
          <w:rFonts w:ascii="맑은 고딕" w:hAnsi="맑은 고딕" w:eastAsia="맑은 고딕" w:cs="맑은 고딕"/>
          <w:color w:val="000000"/>
        </w:rPr>
        <w:t xml:space="preserve">  다만 구 지방자치단체를 당사자로 하는 계약에 관한 법률(2013. 8. 6. 법률 제12000호로 개정되기 전의 것) 제6조 제1항에 따라 공공계약에서 계약상대방의 계약상 이익을 부당하게 제한하는 특약은 효력이 없으나, 이에 해당하기 위해서는 그 특약이 계약상대방에게 다소 불이익하다는 점만으로는 부족하고 지방자치단체 등이 계약상대방의 정당한 이익과 합리적인 기대에 반하여 형평에 어긋나는 특약을 정함으로써 계약상대방에게 부당하게 불이익을 주었다는 점이 인정되어야 한다. 계약상대방의 계약상 이익을 부당하게 제한하는 특약인지는 그 특약에 의하여 계약상대방에게 생길 수 있는 불이익의 내용과 정도, 불이익 발생의 가능성, 전체 계약에 미치는 영향, 당사자들 사이의 계약체결과정, 관계 법령의 규정 등 모든 사정을 종합하여 판단하여야 한다.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6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법령</w:t>
            </w:r>
          </w:p>
        </w:tc>
        <w:tc>
          <w:tcPr>
            <w:tcW w:type="pct" w:w="34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구 지방자치단체를 당사자로 하는 계약에 관한 법률(2013. 8. 6. 법률 제12000호로 개정되기 전의 것)</w:t>
            </w:r>
          </w:p>
        </w:tc>
        <w:tc>
          <w:tcPr>
            <w:tcW w:type="pct" w:w="3400"/>
          </w:tcPr>
          <w:p>
            <w:pPr>
              <w:autoSpaceDE w:val="0"/>
              <w:autoSpaceDN w:val="0"/>
            </w:pPr>
            <w:r/>
            <w:r>
              <w:rPr>
                <w:rFonts w:ascii="맑은 고딕" w:hAnsi="맑은 고딕" w:eastAsia="맑은 고딕" w:cs="맑은 고딕"/>
                <w:b w:val="0"/>
                <w:color w:val="000000"/>
                <w:sz w:val="19"/>
              </w:rPr>
              <w:t>제6조 제1항</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민법</w:t>
            </w:r>
          </w:p>
        </w:tc>
        <w:tc>
          <w:tcPr>
            <w:tcW w:type="pct" w:w="3400"/>
          </w:tcPr>
          <w:p>
            <w:pPr>
              <w:autoSpaceDE w:val="0"/>
              <w:autoSpaceDN w:val="0"/>
            </w:pPr>
            <w:r/>
            <w:r>
              <w:rPr>
                <w:rFonts w:ascii="맑은 고딕" w:hAnsi="맑은 고딕" w:eastAsia="맑은 고딕" w:cs="맑은 고딕"/>
                <w:b w:val="0"/>
                <w:color w:val="000000"/>
                <w:sz w:val="19"/>
              </w:rPr>
              <w:t>제105조</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행정소송법</w:t>
            </w:r>
          </w:p>
        </w:tc>
        <w:tc>
          <w:tcPr>
            <w:tcW w:type="pct" w:w="3400"/>
          </w:tcPr>
          <w:p>
            <w:pPr>
              <w:autoSpaceDE w:val="0"/>
              <w:autoSpaceDN w:val="0"/>
            </w:pPr>
            <w:r/>
            <w:r>
              <w:rPr>
                <w:rFonts w:ascii="맑은 고딕" w:hAnsi="맑은 고딕" w:eastAsia="맑은 고딕" w:cs="맑은 고딕"/>
                <w:b w:val="0"/>
                <w:color w:val="000000"/>
                <w:sz w:val="19"/>
              </w:rPr>
              <w:t>제27조[행정소송재판일반]</w:t>
            </w:r>
          </w:p>
        </w:tc>
      </w:tr>
    </w:tbl>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https://www.law.go.kr/판례/(2014두11328)</w:t>
      </w:r>
    </w:p>
    <w:p>
      <w:pPr>
        <w:autoSpaceDE w:val="0"/>
        <w:autoSpaceDN w:val="0"/>
        <w:spacing w:before="80"/>
      </w:pPr>
      <w:r>
        <w:rPr>
          <w:rFonts w:ascii="맑은 고딕" w:hAnsi="맑은 고딕" w:eastAsia="맑은 고딕" w:cs="맑은 고딕"/>
          <w:color w:val="000000"/>
          <w:sz w:val="18"/>
        </w:rPr>
        <w:t>태그  #폐기물판례 #폐기물수집운반 #행정판례 #대법원판례 #2018년판례 #2014두11328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