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설치부담금, 주민편익시설 비용은 포함할 수 없습니다</w:t>
      </w:r>
    </w:p>
    <w:p>
      <w:pPr>
        <w:pStyle w:val="law1"/>
        <w:autoSpaceDE w:val="0"/>
        <w:autoSpaceDN w:val="0"/>
        <w:spacing w:after="160"/>
      </w:pPr>
      <w:r>
        <w:rPr>
          <w:rFonts w:ascii="맑은 고딕" w:hAnsi="맑은 고딕" w:eastAsia="맑은 고딕" w:cs="맑은 고딕"/>
          <w:color w:val="000000"/>
        </w:rPr>
        <w:t>대법원 2014두1437 (2018.12.27 선고)</w:t>
      </w:r>
    </w:p>
    <w:p>
      <w:pPr>
        <w:autoSpaceDE w:val="0"/>
        <w:autoSpaceDN w:val="0"/>
        <w:spacing w:after="120"/>
      </w:pPr>
      <w:r>
        <w:rPr>
          <w:rFonts w:ascii="맑은 고딕" w:hAnsi="맑은 고딕" w:eastAsia="맑은 고딕" w:cs="맑은 고딕"/>
          <w:color w:val="000000"/>
        </w:rPr>
        <w:t>○ 설치부담금에 주민편익시설 설치비용이 포함되는지, 폐기물 발생량 산정 기준시점이 문제된 사건입니다. 대법원은 주민편익시설 비용은 포함되지 않고, 착공 시점 자료로 발생량을 산정한 것은 원칙적으로 위법하지 않다고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폐기물처리시설 설치부담금에 주민편익시설 설치비용이 포함되나요?</w:t>
            </w:r>
          </w:p>
          <w:p>
            <w:pPr>
              <w:autoSpaceDE w:val="0"/>
              <w:autoSpaceDN w:val="0"/>
            </w:pPr>
            <w:r>
              <w:rPr>
                <w:rFonts w:ascii="맑은 고딕" w:hAnsi="맑은 고딕" w:eastAsia="맑은 고딕" w:cs="맑은 고딕"/>
                <w:b w:val="0"/>
                <w:color w:val="000000"/>
                <w:sz w:val="19"/>
              </w:rPr>
              <w:t>A. 아니요. 사업시행자가 설치할 폐기물처리시설에 주민편익시설은 포함되지 않아 그 비용도 부담금에 포함되지 않습니다.</w:t>
            </w:r>
          </w:p>
          <w:p>
            <w:pPr>
              <w:autoSpaceDE w:val="0"/>
              <w:autoSpaceDN w:val="0"/>
            </w:pPr>
          </w:p>
          <w:p>
            <w:pPr>
              <w:autoSpaceDE w:val="0"/>
              <w:autoSpaceDN w:val="0"/>
            </w:pPr>
            <w:r>
              <w:rPr>
                <w:rFonts w:ascii="맑은 고딕" w:hAnsi="맑은 고딕" w:eastAsia="맑은 고딕" w:cs="맑은 고딕"/>
                <w:b/>
                <w:color w:val="000000"/>
                <w:sz w:val="19"/>
              </w:rPr>
              <w:t>Q. 부담금 산정 시 발생 예상 폐기물량을 언제 기준으로 정하나요?</w:t>
            </w:r>
          </w:p>
          <w:p>
            <w:pPr>
              <w:autoSpaceDE w:val="0"/>
              <w:autoSpaceDN w:val="0"/>
            </w:pPr>
            <w:r>
              <w:rPr>
                <w:rFonts w:ascii="맑은 고딕" w:hAnsi="맑은 고딕" w:eastAsia="맑은 고딕" w:cs="맑은 고딕"/>
                <w:b w:val="0"/>
                <w:color w:val="000000"/>
                <w:sz w:val="19"/>
              </w:rPr>
              <w:t>A. 부과처분 시가 아니라 개발사업 착공 시점에 근접한 자료를 이용해 산정하더라도 원칙적으로 위법하지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2014두1437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2018.12.27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법률의 위임 없이 주민의 권리제한 또는 의무부과에 관한 사항을 정한 조례의 효력(무효)</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여부(소극)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시장 등이 폐기물처리시설 설치비용에 해당하는 금액인 부담금을 산정하면서 부담금 부과처분 시가 아닌 개발사업의 착공 시점에 근접한 폐기물 발생량, 인구수 등의 자료를 이용하여 ‘1일 발생 예상 폐기물량’을 정한 뒤 부담금을 산정한 경우, 그 폐기물처리시설 설치비용 해당 금액 산정이 위법한 것인지 여부(원칙적 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정당하다.</w:t>
      </w:r>
      <w:r>
        <w:rPr>
          <w:rFonts w:ascii="맑은 고딕" w:hAnsi="맑은 고딕" w:eastAsia="맑은 고딕" w:cs="맑은 고딕"/>
          <w:color w:val="000000"/>
        </w:rPr>
        <w:br/>
      </w:r>
      <w:r>
        <w:rPr>
          <w:rFonts w:ascii="맑은 고딕" w:hAnsi="맑은 고딕" w:eastAsia="맑은 고딕" w:cs="맑은 고딕"/>
          <w:color w:val="000000"/>
        </w:rPr>
        <w:t>② 거기에 이 사건 조례 제8조 제1항 [별표 1]의 효력이나 폐기물처리시설 부지매입비용 산정기준에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③ 상고이유 제4점에 관하여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참조). 폐기물시설촉진법령 규정의 문언 및 체제 등에 비추어 보면, 사업시행자가 설치하여야 하는 폐기물처리시설에 주민편익시설은 포함되지 않고, 설치비용 해당 금액에 주민편익시설 설치비용은 포함되지 아니한다(대법원 2018. 11. 29. 선고 2016두35229 판결 참조). 그런데 이 사건 조례 제8조 제2항(이하 ‘이 사건 조례규정’이라 한다)에서는, 하루 처리능력 50t 이상의 환경에너지시설(생활폐기물 소각처리시설)을 설치하는 자는 환경에너지시설의 설치비용(용지비, 보상비, 시설부대경비를 제외한 시설공사비를 말한다)의 100분의 10의 범위 내에서 주민편익시설을 설치하여야 하고, 주민협의체가 그 편익시설의 전부나 일부의 설치를 원하지 아니하는 경우에는 시설의 설치비용에 해당하는 금액을 기금으로 출연하여야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④ 그렇다면 이 사건 조례규정은 폐기물시설촉진법 및 시행령의 가능한 해석범위를 넘어 이를 확장함으로써 위임의 한계를 벗어난 새로운 입법을 한 것과 다름없으므로 그 효력이 없다.</w:t>
      </w:r>
      <w:r>
        <w:rPr>
          <w:rFonts w:ascii="맑은 고딕" w:hAnsi="맑은 고딕" w:eastAsia="맑은 고딕" w:cs="맑은 고딕"/>
          <w:color w:val="000000"/>
        </w:rPr>
        <w:br/>
      </w:r>
      <w:r>
        <w:rPr>
          <w:rFonts w:ascii="맑은 고딕" w:hAnsi="맑은 고딕" w:eastAsia="맑은 고딕" w:cs="맑은 고딕"/>
          <w:color w:val="000000"/>
        </w:rPr>
        <w:t>⑤ 그런데도 원심은, 사업시행자가 납부하여야 할 폐기물처리시설 설치비용에 주민편익시설 설치를 위한 비용이 포함되지 않는다면 시장 등이 자신의 계산(주민들의 세금)으로 주민편익시설까지 설치해야 할 의무를 부담하는 결과가 되어 입법 취지에 반하는 결과가 초래된다는 등의 이유를 들어, 주민편익시설 설치비용을 포함시킨 이 사건 처분이 적법하다고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⑥ 이러한 원심판결에는 폐기물시설촉진법상 폐기물처리시설 설치비용 해당 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⑦ 피고의 상고이유에 대하여 원심은, 설치비용 해당 금액인 이 사건 부담금 산정의 기초가 되는 1일 발생 예상 폐기물량을 확정하려면 처분 시에 가까운 시점의 폐기물 발생량, 인구 등 기초자료를 이용하여 인정하여야 한다고 전제한 다음, 피고가 이 사건 처분 시에 근접한 기초자료가 아닌 착공 시에 근접한 기초자료를 이용하여 1일 발생 예상 폐기물량을 인정하였으므로, 이 사건 처분 중 처분 시에 근접한 기초자료를 토대로 산정한 정당한 부담금을 초과하는 부분은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⑧ 그러나 원심의 판단은 다음과 같은 이유로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t>⑨ 시행령 제4조 제5항은 설치비용 해당 금액을 납부하려는 자는 납부계획서를 그 개발사업의 착공 전에 해당 지역을 관할하는 시장 등에게 제출하여야 하고, 납부계획서를 제출받은 시장 등은 그 적정 여부를 확인한 후 납부금액과 납부기한을 납부계획서 제출자에게 통보하여야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⑩ 또한 이 사건 조례는 전년도 성남시 폐기물 발생량을 성남시 인구로 나눈 ‘1인당 발생량’에 택지개발지구 예상인구수와 변동계수를 곱하여 ‘1일 발생 예상 폐기물량’을 산정하도록 정하고 있을 뿐, 어느 시점의 폐기물 발생량, 인구수 등(이하 ‘기초자료’라 한다)을 기준으로 하여야 하는지에 관하여 아무런 규정을 두고 있지 않다.</w:t>
      </w:r>
      <w:r>
        <w:rPr>
          <w:rFonts w:ascii="맑은 고딕" w:hAnsi="맑은 고딕" w:eastAsia="맑은 고딕" w:cs="맑은 고딕"/>
          <w:color w:val="000000"/>
        </w:rPr>
        <w:br/>
      </w:r>
      <w:r>
        <w:rPr>
          <w:rFonts w:ascii="맑은 고딕" w:hAnsi="맑은 고딕" w:eastAsia="맑은 고딕" w:cs="맑은 고딕"/>
          <w:color w:val="000000"/>
        </w:rPr>
        <w:t>⑪ 앞서 본 시행령 제4조 제3항 역시 설치비용 해당 금액 산정의 기준시점에 관하여는 규정하고 있지 않다.</w:t>
      </w:r>
      <w:r>
        <w:rPr>
          <w:rFonts w:ascii="맑은 고딕" w:hAnsi="맑은 고딕" w:eastAsia="맑은 고딕" w:cs="맑은 고딕"/>
          <w:color w:val="000000"/>
        </w:rPr>
        <w:br/>
      </w:r>
      <w:r>
        <w:rPr>
          <w:rFonts w:ascii="맑은 고딕" w:hAnsi="맑은 고딕" w:eastAsia="맑은 고딕" w:cs="맑은 고딕"/>
          <w:color w:val="000000"/>
        </w:rPr>
        <w:t>⑫ 이와 같이 관계 법령이 납부계획서 제출시점과 설치비용 해당 금액 산정기준에 관하여 상세한 규정을 두면서도 ‘1일 발생 예상 폐기물량’ 산정을 위한 기초자료의 기준시점에 관하여는 아무런 규정을 두고 있지 않으므로, 시장 등이 처분 시가 아닌 착공 시점에 근접한 기초자료를 이용하여 ‘1일 발생 예상 폐기물량’을 정한 뒤 부담금을 산정하였다고 하더라도, 기초자료에 급격한 변동이 발생하여 이러한 사정을 ‘1일 발생 예상 폐기물량’을 정하는 데 반영하지 않은 조치가 현저히 불합리하다는 등의 특별한 사정이 없는 한, 그러한 설치비용 해당 금액 산정이 위법하다고 볼 수는 없다.</w:t>
      </w:r>
      <w:r>
        <w:rPr>
          <w:rFonts w:ascii="맑은 고딕" w:hAnsi="맑은 고딕" w:eastAsia="맑은 고딕" w:cs="맑은 고딕"/>
          <w:color w:val="000000"/>
        </w:rPr>
        <w:br/>
      </w:r>
      <w:r>
        <w:rPr>
          <w:rFonts w:ascii="맑은 고딕" w:hAnsi="맑은 고딕" w:eastAsia="맑은 고딕" w:cs="맑은 고딕"/>
          <w:color w:val="000000"/>
        </w:rPr>
        <w:t>⑬ 원심판결 이유와 적법하게 채택된 증거들에 의하면, 이 사건 사업지구의 착공시점에 근접한 2007년과 이 사건 처분 시에 근접한 2010년 사이에 성남시 1일 일반폐기물 발생량은 384,200kg에서 332,400kg으로 감소하고, 음식물류 폐기물 발생량은 214,100kg에서 229,200kg으로 증가하였으며, 성남시 인구는 953,960명에서 996,524명으로 증가함으로써 기초자료에 변동이 발생한 점, 원고가 개발사업의 착공 이전에 제출하여야 하는 납부계획서를 착공 후 3년이 경과한 시점에 제출함으로써 이 사건 처분이 지연되는 원인을 일부 제공한 것으로 보이는 점 등을 알 수 있다.</w:t>
      </w:r>
      <w:r>
        <w:rPr>
          <w:rFonts w:ascii="맑은 고딕" w:hAnsi="맑은 고딕" w:eastAsia="맑은 고딕" w:cs="맑은 고딕"/>
          <w:color w:val="000000"/>
        </w:rPr>
        <w:br/>
      </w:r>
      <w:r>
        <w:rPr>
          <w:rFonts w:ascii="맑은 고딕" w:hAnsi="맑은 고딕" w:eastAsia="맑은 고딕" w:cs="맑은 고딕"/>
          <w:color w:val="000000"/>
        </w:rPr>
        <w:t>⑭ 이러한 기초자료의 변동 폭과 이 사건 처분이 늦어지게 된 경위 등을 고려해 볼 때 피고가 변동된 내용을 1일 발생 예상 폐기물량 인정에 반영하지 않은 것이 현저히 불합리하다고 보기는 어려우므로, 이 사건 처분 시에 근접하지 않은 기초자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지방자치법</w:t>
            </w:r>
          </w:p>
        </w:tc>
        <w:tc>
          <w:tcPr>
            <w:tcW w:type="pct" w:w="3400"/>
          </w:tcPr>
          <w:p>
            <w:pPr>
              <w:autoSpaceDE w:val="0"/>
              <w:autoSpaceDN w:val="0"/>
            </w:pPr>
            <w:r/>
            <w:r>
              <w:rPr>
                <w:rFonts w:ascii="맑은 고딕" w:hAnsi="맑은 고딕" w:eastAsia="맑은 고딕" w:cs="맑은 고딕"/>
                <w:b w:val="0"/>
                <w:color w:val="000000"/>
                <w:sz w:val="19"/>
              </w:rPr>
              <w:t>제22조, 행정규제기본법 제4조 제3항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법률(2013. 8. 13. 법률 제12077호로 개정되기 전의 것)</w:t>
            </w:r>
          </w:p>
        </w:tc>
        <w:tc>
          <w:tcPr>
            <w:tcW w:type="pct" w:w="3400"/>
          </w:tcPr>
          <w:p>
            <w:pPr>
              <w:autoSpaceDE w:val="0"/>
              <w:autoSpaceDN w:val="0"/>
            </w:pPr>
            <w:r/>
            <w:r>
              <w:rPr>
                <w:rFonts w:ascii="맑은 고딕" w:hAnsi="맑은 고딕" w:eastAsia="맑은 고딕" w:cs="맑은 고딕"/>
                <w:b w:val="0"/>
                <w:color w:val="000000"/>
                <w:sz w:val="19"/>
              </w:rPr>
              <w:t>제2조, 제6조, 제20조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시행령(2014. 2. 11. 대통령령 제25165호로 개정되기 전의 것)</w:t>
            </w:r>
          </w:p>
        </w:tc>
        <w:tc>
          <w:tcPr>
            <w:tcW w:type="pct" w:w="3400"/>
          </w:tcPr>
          <w:p>
            <w:pPr>
              <w:autoSpaceDE w:val="0"/>
              <w:autoSpaceDN w:val="0"/>
            </w:pPr>
            <w:r/>
            <w:r>
              <w:rPr>
                <w:rFonts w:ascii="맑은 고딕" w:hAnsi="맑은 고딕" w:eastAsia="맑은 고딕" w:cs="맑은 고딕"/>
                <w:b w:val="0"/>
                <w:color w:val="000000"/>
                <w:sz w:val="19"/>
              </w:rPr>
              <w:t>제4조</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https://www.law.go.kr/판례/(2014두1437)</w:t>
      </w:r>
    </w:p>
    <w:p>
      <w:pPr>
        <w:autoSpaceDE w:val="0"/>
        <w:autoSpaceDN w:val="0"/>
        <w:spacing w:before="80"/>
      </w:pPr>
      <w:r>
        <w:rPr>
          <w:rFonts w:ascii="맑은 고딕" w:hAnsi="맑은 고딕" w:eastAsia="맑은 고딕" w:cs="맑은 고딕"/>
          <w:color w:val="000000"/>
          <w:sz w:val="18"/>
        </w:rPr>
        <w:t>태그  #폐기물판례 #설치부담금 #폐기물부담금 #폐기물처리시설 #행정판례 #대법원판례 #2018년판례 #2014두1437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