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헌법</w:t>
            </w:r>
          </w:p>
        </w:tc>
        <w:tc>
          <w:tcPr>
            <w:tcW w:type="pct" w:w="3400"/>
          </w:tcPr>
          <w:p>
            <w:pPr>
              <w:autoSpaceDE w:val="0"/>
              <w:autoSpaceDN w:val="0"/>
            </w:pPr>
            <w:r/>
            <w:r>
              <w:rPr>
                <w:rFonts w:ascii="맑은 고딕" w:hAnsi="맑은 고딕" w:eastAsia="맑은 고딕" w:cs="맑은 고딕"/>
                <w:b w:val="0"/>
                <w:color w:val="000000"/>
                <w:sz w:val="19"/>
              </w:rPr>
              <w:t>제12조, 제59조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법률(2013. 8. 13. 법률 제12077호로 개정되기 전의 것)</w:t>
            </w:r>
          </w:p>
        </w:tc>
        <w:tc>
          <w:tcPr>
            <w:tcW w:type="pct" w:w="3400"/>
          </w:tcPr>
          <w:p>
            <w:pPr>
              <w:autoSpaceDE w:val="0"/>
              <w:autoSpaceDN w:val="0"/>
            </w:pPr>
            <w:r/>
            <w:r>
              <w:rPr>
                <w:rFonts w:ascii="맑은 고딕" w:hAnsi="맑은 고딕" w:eastAsia="맑은 고딕" w:cs="맑은 고딕"/>
                <w:b w:val="0"/>
                <w:color w:val="000000"/>
                <w:sz w:val="19"/>
              </w:rPr>
              <w:t>제6조 제1항, 제2항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시행령(2014. 2. 11. 대통령령 제25165호로 개정되기 전의 것)</w:t>
            </w:r>
          </w:p>
        </w:tc>
        <w:tc>
          <w:tcPr>
            <w:tcW w:type="pct" w:w="3400"/>
          </w:tcPr>
          <w:p>
            <w:pPr>
              <w:autoSpaceDE w:val="0"/>
              <w:autoSpaceDN w:val="0"/>
            </w:pPr>
            <w:r/>
            <w:r>
              <w:rPr>
                <w:rFonts w:ascii="맑은 고딕" w:hAnsi="맑은 고딕" w:eastAsia="맑은 고딕" w:cs="맑은 고딕"/>
                <w:b w:val="0"/>
                <w:color w:val="000000"/>
                <w:sz w:val="19"/>
              </w:rPr>
              <w:t>제4조 제1항, 제2항, 제3항, 제4항, 제5항, 제4조 제3항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택지개발촉진법(2013. 3. 23. 법률 제11690호로 개정되기 전의 것)</w:t>
            </w:r>
          </w:p>
        </w:tc>
        <w:tc>
          <w:tcPr>
            <w:tcW w:type="pct" w:w="3400"/>
          </w:tcPr>
          <w:p>
            <w:pPr>
              <w:autoSpaceDE w:val="0"/>
              <w:autoSpaceDN w:val="0"/>
            </w:pPr>
            <w:r/>
            <w:r>
              <w:rPr>
                <w:rFonts w:ascii="맑은 고딕" w:hAnsi="맑은 고딕" w:eastAsia="맑은 고딕" w:cs="맑은 고딕"/>
                <w:b w:val="0"/>
                <w:color w:val="000000"/>
                <w:sz w:val="19"/>
              </w:rPr>
              <w:t>제18조의2 제1항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