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지방자치법</w:t>
            </w:r>
          </w:p>
        </w:tc>
        <w:tc>
          <w:tcPr>
            <w:tcW w:type="pct" w:w="3400"/>
          </w:tcPr>
          <w:p>
            <w:pPr>
              <w:autoSpaceDE w:val="0"/>
              <w:autoSpaceDN w:val="0"/>
            </w:pPr>
            <w:r/>
            <w:r>
              <w:rPr>
                <w:rFonts w:ascii="맑은 고딕" w:hAnsi="맑은 고딕" w:eastAsia="맑은 고딕" w:cs="맑은 고딕"/>
                <w:b w:val="0"/>
                <w:color w:val="000000"/>
                <w:sz w:val="19"/>
              </w:rPr>
              <w:t>제22조, 행정규제기본법 제4조 제3항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제6조, 제20조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시행령(2014. 2. 11. 대통령령 제25165호로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