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절차를 어긴 원상복구 시정명령, 위반해도 처벌할 수 없습니다</w:t>
      </w:r>
    </w:p>
    <w:p>
      <w:pPr>
        <w:pStyle w:val="law1"/>
        <w:autoSpaceDE w:val="0"/>
        <w:autoSpaceDN w:val="0"/>
        <w:spacing w:after="160"/>
      </w:pPr>
      <w:r>
        <w:rPr>
          <w:rFonts w:ascii="맑은 고딕" w:hAnsi="맑은 고딕" w:eastAsia="맑은 고딕" w:cs="맑은 고딕"/>
          <w:color w:val="000000"/>
        </w:rPr>
        <w:t>대법원 2017도7321 (2017.09.21 선고)</w:t>
      </w:r>
    </w:p>
    <w:p>
      <w:pPr>
        <w:autoSpaceDE w:val="0"/>
        <w:autoSpaceDN w:val="0"/>
        <w:spacing w:after="120"/>
      </w:pPr>
      <w:r>
        <w:rPr>
          <w:rFonts w:ascii="맑은 고딕" w:hAnsi="맑은 고딕" w:eastAsia="맑은 고딕" w:cs="맑은 고딕"/>
          <w:color w:val="000000"/>
        </w:rPr>
        <w:t>○ 개발제한구역 내 무단 고철 적치에 대한 원상복구 시정명령을 위반하여 처벌하려면 시정명령이 적법해야 하는지가 문제된 사건입니다. 대법원은 사전통지·의견제출 기회를 주지 않은 시정명령은 절차적 하자로 위법하여 위반죄가 성립하지 않는다고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원상복구 시정명령이 위법하면 이를 어겨도 처벌할 수 있나요?</w:t>
            </w:r>
          </w:p>
          <w:p>
            <w:pPr>
              <w:autoSpaceDE w:val="0"/>
              <w:autoSpaceDN w:val="0"/>
            </w:pPr>
            <w:r>
              <w:rPr>
                <w:rFonts w:ascii="맑은 고딕" w:hAnsi="맑은 고딕" w:eastAsia="맑은 고딕" w:cs="맑은 고딕"/>
                <w:b w:val="0"/>
                <w:color w:val="000000"/>
                <w:sz w:val="19"/>
              </w:rPr>
              <w:t>A. 아니요. 시정명령이 당연무효가 아니더라도 위법하면 위반죄가 성립하지 않습니다.</w:t>
            </w:r>
          </w:p>
          <w:p>
            <w:pPr>
              <w:autoSpaceDE w:val="0"/>
              <w:autoSpaceDN w:val="0"/>
            </w:pPr>
          </w:p>
          <w:p>
            <w:pPr>
              <w:autoSpaceDE w:val="0"/>
              <w:autoSpaceDN w:val="0"/>
            </w:pPr>
            <w:r>
              <w:rPr>
                <w:rFonts w:ascii="맑은 고딕" w:hAnsi="맑은 고딕" w:eastAsia="맑은 고딕" w:cs="맑은 고딕"/>
                <w:b/>
                <w:color w:val="000000"/>
                <w:sz w:val="19"/>
              </w:rPr>
              <w:t>Q. 사전통지나 의견제출 기회를 주지 않은 시정명령은 위법한가요?</w:t>
            </w:r>
          </w:p>
          <w:p>
            <w:pPr>
              <w:autoSpaceDE w:val="0"/>
              <w:autoSpaceDN w:val="0"/>
            </w:pPr>
            <w:r>
              <w:rPr>
                <w:rFonts w:ascii="맑은 고딕" w:hAnsi="맑은 고딕" w:eastAsia="맑은 고딕" w:cs="맑은 고딕"/>
                <w:b w:val="0"/>
                <w:color w:val="000000"/>
                <w:sz w:val="19"/>
              </w:rPr>
              <w:t>A. 네. 정당화 사유 없이 사전통지·의견제출 기회를 주지 않았다면 절차적 하자로 위법합니다.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2017도7321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2017.09.21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이 사건 공소사실 중 시정명령 불이행으로 인한 개발제한구역법 위반의 점에 기재된 바와 같이 피고인 1에게 고철 적치 행위 등에 대한 원상복구를 명하는 시정명령(이하 ‘이 사건 시정명령’이라 한다)을 하면서 위 피고인에 대하여 사전통지를 하지 아니하였을 뿐 아니라 의견제출 기회도 주지 아니하였고, 그러한 절차를 거치지 아니할 예외적인 사정도 없었음을 알 수 있다.</w:t>
      </w:r>
      <w:r>
        <w:rPr>
          <w:rFonts w:ascii="맑은 고딕" w:hAnsi="맑은 고딕" w:eastAsia="맑은 고딕" w:cs="맑은 고딕"/>
          <w:color w:val="000000"/>
        </w:rPr>
        <w:br/>
      </w:r>
      <w:r>
        <w:rPr>
          <w:rFonts w:ascii="맑은 고딕" w:hAnsi="맑은 고딕" w:eastAsia="맑은 고딕" w:cs="맑은 고딕"/>
          <w:color w:val="000000"/>
        </w:rPr>
        <w:t>② 이러한 사실관계를 앞서 본 법리에 비추어 살펴보면, 행정청인 하남시장은 침해적 행정처분인 이 사건 시정명령을 하면서 피고인 1에게 행정절차법 제21조, 제22조에 따른 적법한 사전통지를 하거나 의견제출 기회를 부여하였다고 볼 수 없고 이를 정당화할 사유도 없으므로, 이 사건 시정명령은 절차적 하자가 있어 위법하고, 이 사건 시정명령이 당연무효가 아니더라도 위법한 것으로 인정되는 이상, 피고인 1이 그 시정명령을 이행하지 아니하였다 하더라도 피고인 1에 대하여 개발제한구역법 제32조 제2호 위반죄가 성립할 수 없다.</w:t>
      </w:r>
      <w:r>
        <w:rPr>
          <w:rFonts w:ascii="맑은 고딕" w:hAnsi="맑은 고딕" w:eastAsia="맑은 고딕" w:cs="맑은 고딕"/>
          <w:color w:val="000000"/>
        </w:rPr>
        <w:br/>
      </w:r>
      <w:r>
        <w:rPr>
          <w:rFonts w:ascii="맑은 고딕" w:hAnsi="맑은 고딕" w:eastAsia="맑은 고딕" w:cs="맑은 고딕"/>
          <w:color w:val="000000"/>
        </w:rPr>
        <w:t>③ 피고인 1에 대하여 위 개발제한구역법위반죄가 성립하지 아니하므로 피고인 2 주식회사(이하 ‘피고인 회사’라 한다)에 대하여도 피고인 1의 시정명령 불이행으로 인한 개발제한구역법위반죄가 성립하지 아니한다.</w:t>
      </w:r>
      <w:r>
        <w:rPr>
          <w:rFonts w:ascii="맑은 고딕" w:hAnsi="맑은 고딕" w:eastAsia="맑은 고딕" w:cs="맑은 고딕"/>
          <w:color w:val="000000"/>
        </w:rPr>
        <w:br/>
      </w:r>
      <w:r>
        <w:rPr>
          <w:rFonts w:ascii="맑은 고딕" w:hAnsi="맑은 고딕" w:eastAsia="맑은 고딕" w:cs="맑은 고딕"/>
          <w:color w:val="000000"/>
        </w:rPr>
        <w:t>④ 그럼에도 원심은, 그 판시와 같은 이유만을 들어 이 사건 시정명령이 내려지기 이전에 피고인 1에게 행정절차법이 정한 사전통지나 의견제출 기회의 부여가 이루어지지 않았더라도 그러한 절차상 하자가 위 시정명령을 당연무효로 할 만큼 중대·명백하다고 단정하기 어려우므로 위 시정명령의 효력을 부정할 수 없다고 보아, 피고인들에 대한 이 사건 공소사실 중 이 사건 시정명령 불이행으로 인한 개발제한구역법위반 부분을 유죄로 인정한 제1심판결을 그대로 유지하였다. 이러한</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[1] 개발제한구역의 지정 및 관리에 관한 특별조치법 제30조 제1항에 의하여 행정청으로부터 시정명령을 받은 자가 이를 위반한 경우, 같은 법 제32조 제2호에 정한 처벌을 하기 위하여는 시정명령이 적법하여야 하는지 여부(적극) / 시정명령이 당연무효는 아니지만 위법한 것으로 인정되는 경우, 같은 법 제32조 제2호 위반죄가 성립하는지 여부(소극)</w:t>
      </w:r>
      <w:r>
        <w:rPr>
          <w:rFonts w:ascii="맑은 고딕" w:hAnsi="맑은 고딕" w:eastAsia="맑은 고딕" w:cs="맑은 고딕"/>
          <w:color w:val="000000"/>
        </w:rPr>
        <w:br/>
      </w:r>
      <w:r>
        <w:rPr>
          <w:rFonts w:ascii="맑은 고딕" w:hAnsi="맑은 고딕" w:eastAsia="맑은 고딕" w:cs="맑은 고딕"/>
          <w:color w:val="000000"/>
        </w:rPr>
        <w:t>[2] 피고인 甲 주식회사의 대표이사 피고인 乙이 개발제한구역 내에 무단으로 고철을 쌓아 놓은 행위 등에 대하여 관할관청으로부터 원상복구를 명하는 시정명령을 받고도 이행하지 아니하였다고 하여 개발제한구역의 지정 및 관리에 관한 특별조치법 위반으로 기소된 사안에서, 관할관청이 침해적 행정처분인 시정명령을 하면서 적법한 사전통지를 하거나 의견제출 기회를 부여하지 않았고 이를 정당화할 사유도 없어 시정명령은 절차적 하자가 있어 위법하므로, 피고인 乙에 대하여 같은 법 제32조 제2호 위반죄가 성립하지 않는다고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원심의 판단에는 행정행위의 공정력과 선결문제, 개발제한구역법 제32조의 시정명령위반죄에 관한 법리를 오해하여 판결 결과에 영향을 미친 위법이 있다.</w:t>
      </w:r>
      <w:r>
        <w:rPr>
          <w:rFonts w:ascii="맑은 고딕" w:hAnsi="맑은 고딕" w:eastAsia="맑은 고딕" w:cs="맑은 고딕"/>
          <w:color w:val="000000"/>
        </w:rPr>
        <w:br/>
      </w:r>
      <w:r>
        <w:rPr>
          <w:rFonts w:ascii="맑은 고딕" w:hAnsi="맑은 고딕" w:eastAsia="맑은 고딕" w:cs="맑은 고딕"/>
          <w:color w:val="000000"/>
        </w:rPr>
        <w:t>② 이러한 취지의 상고이유 주장은 이유 있다.</w:t>
      </w:r>
      <w:r>
        <w:rPr>
          <w:rFonts w:ascii="맑은 고딕" w:hAnsi="맑은 고딕" w:eastAsia="맑은 고딕" w:cs="맑은 고딕"/>
          <w:color w:val="000000"/>
        </w:rPr>
        <w:br/>
      </w:r>
      <w:r>
        <w:rPr>
          <w:rFonts w:ascii="맑은 고딕" w:hAnsi="맑은 고딕" w:eastAsia="맑은 고딕" w:cs="맑은 고딕"/>
          <w:color w:val="000000"/>
        </w:rPr>
        <w:t>③ 피고인 1의 폐기물관리법위반죄에 관한 양형부당을 주장하는 상고이유에 대하여 원심판결에 양형조건이 되는 정상에 관한 채증법칙위반의 위법이 있다는 취지의 주장은 결국 양형부당 주장에 해당한다.</w:t>
      </w:r>
      <w:r>
        <w:rPr>
          <w:rFonts w:ascii="맑은 고딕" w:hAnsi="맑은 고딕" w:eastAsia="맑은 고딕" w:cs="맑은 고딕"/>
          <w:color w:val="000000"/>
        </w:rPr>
        <w:br/>
      </w:r>
      <w:r>
        <w:rPr>
          <w:rFonts w:ascii="맑은 고딕" w:hAnsi="맑은 고딕" w:eastAsia="맑은 고딕" w:cs="맑은 고딕"/>
          <w:color w:val="000000"/>
        </w:rPr>
        <w:t>④ 그런데 형사소송법 제383조 제4호에 의하면 사형, 무기 또는 10년 이상의 징역이나 금고가 선고된 사건에서만 양형부당을 사유로 한 상고가 허용되므로, 피고인 1에 대하여 그보다 가벼운 형이 선고된 이 사건에서 형의 양정이 부당하다는 취지의 주장은 적법한 상고이유가 되지 못한다.</w:t>
      </w:r>
      <w:r>
        <w:rPr>
          <w:rFonts w:ascii="맑은 고딕" w:hAnsi="맑은 고딕" w:eastAsia="맑은 고딕" w:cs="맑은 고딕"/>
          <w:color w:val="000000"/>
        </w:rPr>
        <w:br/>
      </w:r>
      <w:r>
        <w:rPr>
          <w:rFonts w:ascii="맑은 고딕" w:hAnsi="맑은 고딕" w:eastAsia="맑은 고딕" w:cs="맑은 고딕"/>
          <w:color w:val="000000"/>
        </w:rPr>
        <w:t>⑤ 파기의 범위 피고인 1 피고인 1에게는 제1심 판시 폐기물관리법위반죄(제1의 가.죄)와 물건 적치로 인한 개발제한구역법위반죄[제1의 나.(1)죄] 중간에 제1심 판시 첫머리에 기재된 확정판결의 전과가 있으므로 위 폐기물관리법위반죄는 판결이 확정된 죄와 형법 제37조 후단의 경합범 관계에 있어 나머지 부분이 파기된다 하더라도 그 부분의 죄는 별개로 심리·판단되고 또 분리되어 확정되는 관계에 있으므로(대법원 1999. 11. 12. 선고 99도2934 판결 등 참조), 원심판결 중 피고인 1의 위 폐기물관리법위반죄 부분에 대한 위 피고인의 상고는 기각되어야 한다.</w:t>
      </w:r>
      <w:r>
        <w:rPr>
          <w:rFonts w:ascii="맑은 고딕" w:hAnsi="맑은 고딕" w:eastAsia="맑은 고딕" w:cs="맑은 고딕"/>
          <w:color w:val="000000"/>
        </w:rPr>
        <w:br/>
      </w:r>
      <w:r>
        <w:rPr>
          <w:rFonts w:ascii="맑은 고딕" w:hAnsi="맑은 고딕" w:eastAsia="맑은 고딕" w:cs="맑은 고딕"/>
          <w:color w:val="000000"/>
        </w:rPr>
        <w:t>⑥ 원심판결 중 피고인 1에 대한 시정명령 불이행으로 인한 개발제한구역법위반 부분은 앞서 본 이유로 파기되어야 하는데, 원심은 이 부분과 피고인 1에 대한 나머지 개발제한구역법위반의 공소사실을 모두 유죄로 인정한 다음 이를 형법 제37조 전단의 경합범으로 보아 피고인 1의 위 각 죄에 대하여 1개의 형을 선고한 제1심판결을 유지하였으므로, 원심판결 중 피고인 1에 대한 제1심 판시 각 개발제한구역법위반죄 부분(제1의 나.죄 부분)은 모두 파기되어야 한다.</w:t>
      </w:r>
      <w:r>
        <w:rPr>
          <w:rFonts w:ascii="맑은 고딕" w:hAnsi="맑은 고딕" w:eastAsia="맑은 고딕" w:cs="맑은 고딕"/>
          <w:color w:val="000000"/>
        </w:rPr>
        <w:br/>
      </w:r>
      <w:r>
        <w:rPr>
          <w:rFonts w:ascii="맑은 고딕" w:hAnsi="맑은 고딕" w:eastAsia="맑은 고딕" w:cs="맑은 고딕"/>
          <w:color w:val="000000"/>
        </w:rPr>
        <w:t>⑦ 피고인 회사 원심판결 중 피고인 회사에 대한 시정명령 불이행으로 인한 개발제한구역법위반 부분은 앞서 본 이유로 파기되어야 하는데, 원심은 이 부분을 포함하여 피고인 회사에 대한 이 사건 공소사실을 모두 유죄로 인정한 다음 이를 형법 제37조 전단의 경합범으로 보아 피고인 회사에 대하여 1개의 형을 선고한 제1심판결을 유지하였으므로, 원심판결 중 피고인 회사에 대한 부분은 모두 파기되어야 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color w:val="000000"/>
        </w:rPr>
        <w:t>[1] 개발제한구역의 지정 및 관리에 관한 특별조치법(이하 ‘개발제한구역법’이라 한다) 제30조 제1항에 의하여 행정청으로부터 시정명령을 받은 자가 이를 위반한 경우, 그로 인하여 개발제한구역법 제32조 제2호에 정한 처벌을 하기 위하여는 시정명령이 적법한 것이라야 하고, 시정명령이 당연무효가 아니더라도 위법한 것으로 인정되는 한 개발제한구역법 제32조 제2호 위반죄가 성립될 수 없다.</w:t>
      </w:r>
      <w:r>
        <w:rPr>
          <w:rFonts w:ascii="맑은 고딕" w:hAnsi="맑은 고딕" w:eastAsia="맑은 고딕" w:cs="맑은 고딕"/>
          <w:color w:val="000000"/>
        </w:rPr>
        <w:br/>
      </w:r>
      <w:r>
        <w:rPr>
          <w:rFonts w:ascii="맑은 고딕" w:hAnsi="맑은 고딕" w:eastAsia="맑은 고딕" w:cs="맑은 고딕"/>
          <w:color w:val="000000"/>
        </w:rPr>
        <w:t>[2] 피고인 甲 주식회사의 대표이사 피고인 乙이 개발제한구역 내에 무단으로 고철을 쌓아 놓은 행위 등에 대하여 관할관청으로부터 원상복구를 명하는 시정명령을 받고도 이행하지 아니하였다고 하여 개발제한구역의 지정 및 관리에 관한 특별조치법(이하 ‘개발제한구역법’이라 한다) 위반으로 기소된 사안에서, 관할관청이 침해적 행정처분인 시정명령을 하면서 피고인 乙에게 행정절차법 제21조, 제22조에 따른 적법한 사전통지를 하거나 의견제출 기회를 부여하지 않았고 이를 정당화할 사유도 없으므로 시정명령은 절차적 하자가 있어 위법하고, 시정명령이 당연무효가 아니더라도 위법한 것으로 인정되는 이상 피고인 乙이 시정명령을 이행하지 아니하였더라도 피고인 乙에 대하여 개발제한구역법 제32조 제2호 위반죄가 성립하지 아니함에도, 이와 달리 보아 피고인들에게 유죄를 인정한 원심판단에 행정행위의 공정력과 선결문제, 개발제한구역법 제32조의 시정명령위반죄에 관한 법리오해의 위법이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6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법령</w:t>
            </w:r>
          </w:p>
        </w:tc>
        <w:tc>
          <w:tcPr>
            <w:tcW w:type="pct" w:w="34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관련 조문</w:t>
            </w:r>
          </w:p>
        </w:tc>
        <w:tc>
          <w:tcPr>
            <w:tcW w:type="pct" w:w="3400"/>
          </w:tcPr>
          <w:p>
            <w:pPr>
              <w:autoSpaceDE w:val="0"/>
              <w:autoSpaceDN w:val="0"/>
            </w:pPr>
            <w:r/>
            <w:r>
              <w:rPr>
                <w:rFonts w:ascii="맑은 고딕" w:hAnsi="맑은 고딕" w:eastAsia="맑은 고딕" w:cs="맑은 고딕"/>
                <w:b w:val="0"/>
                <w:color w:val="000000"/>
                <w:sz w:val="19"/>
              </w:rPr>
              <w:t>개발제한구역의 지정 및 관리에 관한 특별조치법 제30조 제1항, 제32조 제2호, 제33조</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행정절차법</w:t>
            </w:r>
          </w:p>
        </w:tc>
        <w:tc>
          <w:tcPr>
            <w:tcW w:type="pct" w:w="3400"/>
          </w:tcPr>
          <w:p>
            <w:pPr>
              <w:autoSpaceDE w:val="0"/>
              <w:autoSpaceDN w:val="0"/>
            </w:pPr>
            <w:r/>
            <w:r>
              <w:rPr>
                <w:rFonts w:ascii="맑은 고딕" w:hAnsi="맑은 고딕" w:eastAsia="맑은 고딕" w:cs="맑은 고딕"/>
                <w:b w:val="0"/>
                <w:color w:val="000000"/>
                <w:sz w:val="19"/>
              </w:rPr>
              <w:t>제21조, 제22조</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형사소송법</w:t>
            </w:r>
          </w:p>
        </w:tc>
        <w:tc>
          <w:tcPr>
            <w:tcW w:type="pct" w:w="3400"/>
          </w:tcPr>
          <w:p>
            <w:pPr>
              <w:autoSpaceDE w:val="0"/>
              <w:autoSpaceDN w:val="0"/>
            </w:pPr>
            <w:r/>
            <w:r>
              <w:rPr>
                <w:rFonts w:ascii="맑은 고딕" w:hAnsi="맑은 고딕" w:eastAsia="맑은 고딕" w:cs="맑은 고딕"/>
                <w:b w:val="0"/>
                <w:color w:val="000000"/>
                <w:sz w:val="19"/>
              </w:rPr>
              <w:t>제325조</w:t>
            </w:r>
          </w:p>
        </w:tc>
      </w:tr>
    </w:tbl>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https://www.law.go.kr/판례/(2017도7321)</w:t>
      </w:r>
    </w:p>
    <w:p>
      <w:pPr>
        <w:autoSpaceDE w:val="0"/>
        <w:autoSpaceDN w:val="0"/>
        <w:spacing w:before="80"/>
      </w:pPr>
      <w:r>
        <w:rPr>
          <w:rFonts w:ascii="맑은 고딕" w:hAnsi="맑은 고딕" w:eastAsia="맑은 고딕" w:cs="맑은 고딕"/>
          <w:color w:val="000000"/>
          <w:sz w:val="18"/>
        </w:rPr>
        <w:t>태그  #폐기물관리법판례 #형사판례 #대법원판례 #2017년판례 #2017도7321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