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②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③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t>④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t>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t>⑥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t>⑦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t>⑧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w:t>
      </w:r>
      <w:r>
        <w:rPr>
          <w:rFonts w:ascii="맑은 고딕" w:hAnsi="맑은 고딕" w:eastAsia="맑은 고딕" w:cs="맑은 고딕"/>
          <w:color w:val="000000"/>
        </w:rPr>
        <w:br/>
      </w:r>
      <w:r>
        <w:rPr>
          <w:rFonts w:ascii="맑은 고딕" w:hAnsi="맑은 고딕" w:eastAsia="맑은 고딕" w:cs="맑은 고딕"/>
          <w:color w:val="000000"/>
        </w:rPr>
        <w:t>⑨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헌법</w:t>
            </w:r>
          </w:p>
        </w:tc>
        <w:tc>
          <w:tcPr>
            <w:tcW w:type="pct" w:w="3400"/>
          </w:tcPr>
          <w:p>
            <w:pPr>
              <w:autoSpaceDE w:val="0"/>
              <w:autoSpaceDN w:val="0"/>
            </w:pPr>
            <w:r/>
            <w:r>
              <w:rPr>
                <w:rFonts w:ascii="맑은 고딕" w:hAnsi="맑은 고딕" w:eastAsia="맑은 고딕" w:cs="맑은 고딕"/>
                <w:b w:val="0"/>
                <w:color w:val="000000"/>
                <w:sz w:val="19"/>
              </w:rPr>
              <w:t>제12조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형법</w:t>
            </w:r>
          </w:p>
        </w:tc>
        <w:tc>
          <w:tcPr>
            <w:tcW w:type="pct" w:w="3400"/>
          </w:tcPr>
          <w:p>
            <w:pPr>
              <w:autoSpaceDE w:val="0"/>
              <w:autoSpaceDN w:val="0"/>
            </w:pPr>
            <w:r/>
            <w:r>
              <w:rPr>
                <w:rFonts w:ascii="맑은 고딕" w:hAnsi="맑은 고딕" w:eastAsia="맑은 고딕" w:cs="맑은 고딕"/>
                <w:b w:val="0"/>
                <w:color w:val="000000"/>
                <w:sz w:val="19"/>
              </w:rPr>
              <w:t>제1조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폐기물관리법(2002. 1. 26. 법률 제6627호로 개정되기 전의 것)</w:t>
            </w:r>
          </w:p>
        </w:tc>
        <w:tc>
          <w:tcPr>
            <w:tcW w:type="pct" w:w="3400"/>
          </w:tcPr>
          <w:p>
            <w:pPr>
              <w:autoSpaceDE w:val="0"/>
              <w:autoSpaceDN w:val="0"/>
            </w:pPr>
            <w:r/>
            <w:r>
              <w:rPr>
                <w:rFonts w:ascii="맑은 고딕" w:hAnsi="맑은 고딕" w:eastAsia="맑은 고딕" w:cs="맑은 고딕"/>
                <w:b w:val="0"/>
                <w:color w:val="000000"/>
                <w:sz w:val="19"/>
              </w:rPr>
              <w:t>제24조 제5항(현행 제17조 제8항, 제9항 참조)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폐기물관리법(2007. 4. 11. 법률 제8371호로 전부 개정되기 전의 것)</w:t>
            </w:r>
          </w:p>
        </w:tc>
        <w:tc>
          <w:tcPr>
            <w:tcW w:type="pct" w:w="3400"/>
          </w:tcPr>
          <w:p>
            <w:pPr>
              <w:autoSpaceDE w:val="0"/>
              <w:autoSpaceDN w:val="0"/>
            </w:pPr>
            <w:r/>
            <w:r>
              <w:rPr>
                <w:rFonts w:ascii="맑은 고딕" w:hAnsi="맑은 고딕" w:eastAsia="맑은 고딕" w:cs="맑은 고딕"/>
                <w:b w:val="0"/>
                <w:color w:val="000000"/>
                <w:sz w:val="19"/>
              </w:rPr>
              <w:t>제32조 제1항(현행 제33조 제1항 참조)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폐기물관리법(2010. 7. 23. 법률 제10389호로 개정되기 전의 것)</w:t>
            </w:r>
          </w:p>
        </w:tc>
        <w:tc>
          <w:tcPr>
            <w:tcW w:type="pct" w:w="3400"/>
          </w:tcPr>
          <w:p>
            <w:pPr>
              <w:autoSpaceDE w:val="0"/>
              <w:autoSpaceDN w:val="0"/>
            </w:pPr>
            <w:r/>
            <w:r>
              <w:rPr>
                <w:rFonts w:ascii="맑은 고딕" w:hAnsi="맑은 고딕" w:eastAsia="맑은 고딕" w:cs="맑은 고딕"/>
                <w:b w:val="0"/>
                <w:color w:val="000000"/>
                <w:sz w:val="19"/>
              </w:rPr>
              <w:t>제33조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폐기물관리법(2015. 1. 20. 법률 제13038호로 개정되기 전의 것)</w:t>
            </w:r>
          </w:p>
        </w:tc>
        <w:tc>
          <w:tcPr>
            <w:tcW w:type="pct" w:w="3400"/>
          </w:tcPr>
          <w:p>
            <w:pPr>
              <w:autoSpaceDE w:val="0"/>
              <w:autoSpaceDN w:val="0"/>
            </w:pPr>
            <w:r/>
            <w:r>
              <w:rPr>
                <w:rFonts w:ascii="맑은 고딕" w:hAnsi="맑은 고딕" w:eastAsia="맑은 고딕" w:cs="맑은 고딕"/>
                <w:b w:val="0"/>
                <w:color w:val="000000"/>
                <w:sz w:val="19"/>
              </w:rPr>
              <w:t>제33조 제1항, 제2항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형사소송법</w:t>
            </w:r>
          </w:p>
        </w:tc>
        <w:tc>
          <w:tcPr>
            <w:tcW w:type="pct" w:w="3400"/>
          </w:tcPr>
          <w:p>
            <w:pPr>
              <w:autoSpaceDE w:val="0"/>
              <w:autoSpaceDN w:val="0"/>
            </w:pPr>
            <w:r/>
            <w:r>
              <w:rPr>
                <w:rFonts w:ascii="맑은 고딕" w:hAnsi="맑은 고딕" w:eastAsia="맑은 고딕" w:cs="맑은 고딕"/>
                <w:b w:val="0"/>
                <w:color w:val="000000"/>
                <w:sz w:val="19"/>
              </w:rPr>
              <w:t>제325조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