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제25조 제9항 제1호, 제66조 제9호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 시행령</w:t>
            </w:r>
          </w:p>
        </w:tc>
        <w:tc>
          <w:tcPr>
            <w:tcW w:type="pct" w:w="3400"/>
          </w:tcPr>
          <w:p>
            <w:pPr>
              <w:autoSpaceDE w:val="0"/>
              <w:autoSpaceDN w:val="0"/>
            </w:pPr>
            <w:r/>
            <w:r>
              <w:rPr>
                <w:rFonts w:ascii="맑은 고딕" w:hAnsi="맑은 고딕" w:eastAsia="맑은 고딕" w:cs="맑은 고딕"/>
                <w:b w:val="0"/>
                <w:color w:val="000000"/>
                <w:sz w:val="19"/>
              </w:rPr>
              <w:t>제7조 제1항 제6호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 시행규칙</w:t>
            </w:r>
          </w:p>
        </w:tc>
        <w:tc>
          <w:tcPr>
            <w:tcW w:type="pct" w:w="3400"/>
          </w:tcPr>
          <w:p>
            <w:pPr>
              <w:autoSpaceDE w:val="0"/>
              <w:autoSpaceDN w:val="0"/>
            </w:pPr>
            <w:r/>
            <w:r>
              <w:rPr>
                <w:rFonts w:ascii="맑은 고딕" w:hAnsi="맑은 고딕" w:eastAsia="맑은 고딕" w:cs="맑은 고딕"/>
                <w:b w:val="0"/>
                <w:color w:val="000000"/>
                <w:sz w:val="19"/>
              </w:rPr>
              <w:t>제28조 제4항, 제30조의2</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